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91" w:rsidRDefault="00266D1D" w:rsidP="003142B9">
      <w:pPr>
        <w:rPr>
          <w:b/>
          <w:szCs w:val="24"/>
        </w:rPr>
      </w:pPr>
      <w:r w:rsidRPr="00266D1D">
        <w:rPr>
          <w:b/>
          <w:szCs w:val="24"/>
        </w:rPr>
        <w:t>LOANS</w:t>
      </w:r>
    </w:p>
    <w:p w:rsidR="00266D1D" w:rsidRDefault="00266D1D" w:rsidP="003142B9">
      <w:pPr>
        <w:rPr>
          <w:b/>
          <w:szCs w:val="24"/>
        </w:rPr>
      </w:pPr>
    </w:p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5000"/>
        <w:gridCol w:w="1100"/>
        <w:gridCol w:w="398"/>
        <w:gridCol w:w="2900"/>
      </w:tblGrid>
      <w:tr w:rsidR="00266D1D" w:rsidRPr="00266D1D" w:rsidTr="00E93ED2">
        <w:tc>
          <w:tcPr>
            <w:tcW w:w="5000" w:type="dxa"/>
            <w:shd w:val="clear" w:color="auto" w:fill="auto"/>
          </w:tcPr>
          <w:p w:rsidR="00266D1D" w:rsidRDefault="008373E4" w:rsidP="003142B9">
            <w:pPr>
              <w:rPr>
                <w:szCs w:val="24"/>
              </w:rPr>
            </w:pPr>
            <w:r>
              <w:rPr>
                <w:szCs w:val="24"/>
              </w:rPr>
              <w:t>PAUL HEWSON</w:t>
            </w:r>
          </w:p>
          <w:p w:rsidR="003536C8" w:rsidRDefault="003536C8" w:rsidP="003142B9">
            <w:pPr>
              <w:rPr>
                <w:szCs w:val="24"/>
              </w:rPr>
            </w:pPr>
          </w:p>
          <w:p w:rsidR="008373E4" w:rsidRDefault="008373E4" w:rsidP="003142B9">
            <w:pPr>
              <w:rPr>
                <w:szCs w:val="24"/>
              </w:rPr>
            </w:pPr>
            <w:r>
              <w:rPr>
                <w:szCs w:val="24"/>
              </w:rPr>
              <w:t>DAVID JONES</w:t>
            </w:r>
          </w:p>
          <w:p w:rsidR="008373E4" w:rsidRDefault="008373E4" w:rsidP="003142B9">
            <w:pPr>
              <w:rPr>
                <w:szCs w:val="24"/>
              </w:rPr>
            </w:pPr>
          </w:p>
          <w:p w:rsidR="003536C8" w:rsidRDefault="008373E4" w:rsidP="003142B9">
            <w:pPr>
              <w:rPr>
                <w:szCs w:val="24"/>
              </w:rPr>
            </w:pPr>
            <w:r>
              <w:rPr>
                <w:szCs w:val="24"/>
              </w:rPr>
              <w:t>ROBERT ZIMMERMAN</w:t>
            </w:r>
          </w:p>
          <w:p w:rsidR="008373E4" w:rsidRDefault="008373E4" w:rsidP="003142B9">
            <w:pPr>
              <w:rPr>
                <w:szCs w:val="24"/>
              </w:rPr>
            </w:pPr>
          </w:p>
          <w:p w:rsidR="008373E4" w:rsidRPr="00266D1D" w:rsidRDefault="008373E4" w:rsidP="003142B9">
            <w:pPr>
              <w:rPr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266D1D" w:rsidRDefault="008373E4" w:rsidP="00266D1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8373E4" w:rsidRDefault="008373E4" w:rsidP="00266D1D">
            <w:pPr>
              <w:jc w:val="right"/>
              <w:rPr>
                <w:szCs w:val="24"/>
              </w:rPr>
            </w:pPr>
          </w:p>
          <w:p w:rsidR="008373E4" w:rsidRDefault="008373E4" w:rsidP="00266D1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2,001</w:t>
            </w:r>
          </w:p>
          <w:p w:rsidR="008373E4" w:rsidRDefault="008373E4" w:rsidP="00266D1D">
            <w:pPr>
              <w:jc w:val="right"/>
              <w:rPr>
                <w:szCs w:val="24"/>
              </w:rPr>
            </w:pPr>
          </w:p>
          <w:p w:rsidR="008373E4" w:rsidRPr="00266D1D" w:rsidRDefault="008373E4" w:rsidP="00266D1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1,941</w:t>
            </w:r>
          </w:p>
        </w:tc>
        <w:tc>
          <w:tcPr>
            <w:tcW w:w="398" w:type="dxa"/>
            <w:shd w:val="clear" w:color="auto" w:fill="auto"/>
          </w:tcPr>
          <w:p w:rsidR="00266D1D" w:rsidRPr="00266D1D" w:rsidRDefault="00266D1D" w:rsidP="003142B9">
            <w:pPr>
              <w:rPr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266D1D" w:rsidRDefault="00E1445A" w:rsidP="003142B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373E4" w:rsidRDefault="008373E4" w:rsidP="003142B9">
            <w:pPr>
              <w:rPr>
                <w:szCs w:val="24"/>
              </w:rPr>
            </w:pPr>
          </w:p>
          <w:p w:rsidR="008373E4" w:rsidRDefault="00E1445A" w:rsidP="003142B9">
            <w:pPr>
              <w:rPr>
                <w:szCs w:val="24"/>
              </w:rPr>
            </w:pPr>
            <w:r>
              <w:rPr>
                <w:szCs w:val="24"/>
              </w:rPr>
              <w:t>1 (Oil &amp; Gas)</w:t>
            </w:r>
          </w:p>
          <w:p w:rsidR="008373E4" w:rsidRDefault="008373E4" w:rsidP="003142B9">
            <w:pPr>
              <w:rPr>
                <w:szCs w:val="24"/>
              </w:rPr>
            </w:pPr>
          </w:p>
          <w:p w:rsidR="008373E4" w:rsidRDefault="008373E4" w:rsidP="003142B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3536C8" w:rsidRDefault="003536C8" w:rsidP="003142B9">
            <w:pPr>
              <w:rPr>
                <w:szCs w:val="24"/>
              </w:rPr>
            </w:pPr>
          </w:p>
          <w:p w:rsidR="003536C8" w:rsidRPr="00266D1D" w:rsidRDefault="003536C8" w:rsidP="003142B9">
            <w:pPr>
              <w:rPr>
                <w:szCs w:val="24"/>
              </w:rPr>
            </w:pPr>
          </w:p>
        </w:tc>
      </w:tr>
    </w:tbl>
    <w:p w:rsidR="00266D1D" w:rsidRDefault="00266D1D" w:rsidP="003142B9">
      <w:pPr>
        <w:rPr>
          <w:sz w:val="20"/>
          <w:szCs w:val="24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5000"/>
        <w:gridCol w:w="1100"/>
        <w:gridCol w:w="1800"/>
        <w:gridCol w:w="2900"/>
      </w:tblGrid>
      <w:tr w:rsidR="00266D1D" w:rsidRPr="00266D1D" w:rsidTr="00266D1D">
        <w:trPr>
          <w:trHeight w:hRule="exact" w:val="20"/>
        </w:trPr>
        <w:tc>
          <w:tcPr>
            <w:tcW w:w="5000" w:type="dxa"/>
            <w:shd w:val="clear" w:color="auto" w:fill="auto"/>
          </w:tcPr>
          <w:p w:rsidR="00266D1D" w:rsidRDefault="00266D1D" w:rsidP="003142B9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266D1D" w:rsidRDefault="00266D1D" w:rsidP="00266D1D">
            <w:pPr>
              <w:jc w:val="right"/>
              <w:rPr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66D1D" w:rsidRPr="00266D1D" w:rsidRDefault="00266D1D" w:rsidP="003142B9">
            <w:pPr>
              <w:rPr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266D1D" w:rsidRPr="00266D1D" w:rsidRDefault="00266D1D" w:rsidP="003142B9">
            <w:pPr>
              <w:rPr>
                <w:szCs w:val="24"/>
              </w:rPr>
            </w:pPr>
          </w:p>
        </w:tc>
      </w:tr>
      <w:tr w:rsidR="00266D1D" w:rsidRPr="00266D1D" w:rsidTr="00266D1D">
        <w:tc>
          <w:tcPr>
            <w:tcW w:w="5000" w:type="dxa"/>
            <w:shd w:val="clear" w:color="auto" w:fill="auto"/>
          </w:tcPr>
          <w:p w:rsidR="00266D1D" w:rsidRDefault="00266D1D" w:rsidP="003142B9">
            <w:pPr>
              <w:rPr>
                <w:szCs w:val="24"/>
              </w:rPr>
            </w:pPr>
            <w:r>
              <w:rPr>
                <w:szCs w:val="24"/>
              </w:rPr>
              <w:tab/>
              <w:t>TOTAL</w:t>
            </w:r>
          </w:p>
          <w:p w:rsidR="006B2E02" w:rsidRDefault="006B2E02" w:rsidP="003142B9">
            <w:pPr>
              <w:rPr>
                <w:szCs w:val="24"/>
              </w:rPr>
            </w:pPr>
          </w:p>
          <w:p w:rsidR="006B2E02" w:rsidRPr="00266D1D" w:rsidRDefault="006B2E02" w:rsidP="003142B9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266D1D" w:rsidRPr="00266D1D" w:rsidRDefault="008373E4" w:rsidP="00266D1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3,982</w:t>
            </w:r>
          </w:p>
        </w:tc>
        <w:tc>
          <w:tcPr>
            <w:tcW w:w="1800" w:type="dxa"/>
            <w:shd w:val="clear" w:color="auto" w:fill="auto"/>
          </w:tcPr>
          <w:p w:rsidR="00266D1D" w:rsidRPr="00266D1D" w:rsidRDefault="00266D1D" w:rsidP="003142B9">
            <w:pPr>
              <w:rPr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266D1D" w:rsidRPr="00266D1D" w:rsidRDefault="00266D1D" w:rsidP="003142B9">
            <w:pPr>
              <w:rPr>
                <w:szCs w:val="24"/>
              </w:rPr>
            </w:pPr>
          </w:p>
        </w:tc>
      </w:tr>
    </w:tbl>
    <w:p w:rsidR="00266D1D" w:rsidRDefault="00266D1D" w:rsidP="00AF5CB2">
      <w:pPr>
        <w:rPr>
          <w:sz w:val="20"/>
          <w:szCs w:val="24"/>
        </w:rPr>
      </w:pPr>
    </w:p>
    <w:p w:rsidR="00266D1D" w:rsidRPr="00266D1D" w:rsidRDefault="00266D1D" w:rsidP="003142B9">
      <w:pPr>
        <w:rPr>
          <w:sz w:val="20"/>
          <w:szCs w:val="24"/>
        </w:rPr>
      </w:pPr>
    </w:p>
    <w:sectPr w:rsidR="00266D1D" w:rsidRPr="00266D1D" w:rsidSect="00004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634" w:bottom="864" w:left="634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B0" w:rsidRDefault="007314B0">
      <w:r>
        <w:separator/>
      </w:r>
    </w:p>
  </w:endnote>
  <w:endnote w:type="continuationSeparator" w:id="0">
    <w:p w:rsidR="007314B0" w:rsidRDefault="0073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02" w:rsidRDefault="006B2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11" w:rsidRDefault="00696B11" w:rsidP="00B94B1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4791">
      <w:rPr>
        <w:rStyle w:val="PageNumber"/>
        <w:noProof/>
      </w:rPr>
      <w:t>2</w:t>
    </w:r>
    <w:r>
      <w:rPr>
        <w:rStyle w:val="PageNumber"/>
      </w:rPr>
      <w:fldChar w:fldCharType="end"/>
    </w:r>
    <w:r w:rsidR="00E93E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1270</wp:posOffset>
              </wp:positionV>
              <wp:extent cx="6978650" cy="0"/>
              <wp:effectExtent l="13335" t="10795" r="8890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8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AC4F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.1pt" to="548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z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s8TSfTU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11" w:rsidRDefault="00696B11" w:rsidP="00EA624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2BCF">
      <w:rPr>
        <w:rStyle w:val="PageNumber"/>
        <w:noProof/>
      </w:rPr>
      <w:t>1</w:t>
    </w:r>
    <w:r>
      <w:rPr>
        <w:rStyle w:val="PageNumber"/>
      </w:rPr>
      <w:fldChar w:fldCharType="end"/>
    </w:r>
    <w:r w:rsidR="00E93E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1270</wp:posOffset>
              </wp:positionV>
              <wp:extent cx="6978650" cy="0"/>
              <wp:effectExtent l="10160" t="10795" r="12065" b="825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8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59DB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.1pt" to="548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Q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WT/P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B0" w:rsidRDefault="007314B0">
      <w:r>
        <w:separator/>
      </w:r>
    </w:p>
  </w:footnote>
  <w:footnote w:type="continuationSeparator" w:id="0">
    <w:p w:rsidR="007314B0" w:rsidRDefault="0073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02" w:rsidRDefault="006B2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4968"/>
      <w:gridCol w:w="1260"/>
      <w:gridCol w:w="1620"/>
      <w:gridCol w:w="1690"/>
      <w:gridCol w:w="1460"/>
    </w:tblGrid>
    <w:tr w:rsidR="00696B11">
      <w:trPr>
        <w:trHeight w:val="610"/>
      </w:trPr>
      <w:tc>
        <w:tcPr>
          <w:tcW w:w="9538" w:type="dxa"/>
          <w:gridSpan w:val="4"/>
          <w:tcBorders>
            <w:left w:val="single" w:sz="4" w:space="0" w:color="FFFFFF"/>
          </w:tcBorders>
          <w:vAlign w:val="center"/>
        </w:tcPr>
        <w:p w:rsidR="00696B11" w:rsidRDefault="00696B11" w:rsidP="007B3F9D">
          <w:pPr>
            <w:pStyle w:val="Header"/>
            <w:ind w:left="4" w:hanging="4"/>
            <w:rPr>
              <w:b/>
            </w:rPr>
          </w:pPr>
          <w:bookmarkStart w:id="0" w:name="Inst_Ident_Cell2" w:colFirst="1" w:colLast="1"/>
          <w:r w:rsidRPr="00A819EB">
            <w:rPr>
              <w:b/>
            </w:rPr>
            <w:t>Assets with Credit Data or Collateral Documentation Exceptions</w:t>
          </w:r>
          <w:r>
            <w:rPr>
              <w:b/>
            </w:rPr>
            <w:t xml:space="preserve"> (Continued)</w:t>
          </w:r>
        </w:p>
      </w:tc>
      <w:tc>
        <w:tcPr>
          <w:tcW w:w="1455" w:type="dxa"/>
          <w:tcBorders>
            <w:right w:val="single" w:sz="4" w:space="0" w:color="FFFFFF"/>
          </w:tcBorders>
          <w:vAlign w:val="center"/>
        </w:tcPr>
        <w:p w:rsidR="00696B11" w:rsidRDefault="00266D1D" w:rsidP="007B3F9D">
          <w:pPr>
            <w:pStyle w:val="Header"/>
            <w:jc w:val="center"/>
            <w:rPr>
              <w:b/>
            </w:rPr>
          </w:pPr>
          <w:r>
            <w:rPr>
              <w:b/>
            </w:rPr>
            <w:t>19679</w:t>
          </w:r>
        </w:p>
      </w:tc>
    </w:tr>
    <w:bookmarkEnd w:id="0"/>
    <w:tr w:rsidR="00696B11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</w:tblPrEx>
      <w:trPr>
        <w:trHeight w:val="606"/>
      </w:trPr>
      <w:tc>
        <w:tcPr>
          <w:tcW w:w="4968" w:type="dxa"/>
          <w:tcBorders>
            <w:left w:val="nil"/>
          </w:tcBorders>
          <w:vAlign w:val="center"/>
        </w:tcPr>
        <w:p w:rsidR="00696B11" w:rsidRDefault="00696B11" w:rsidP="00264791">
          <w:pPr>
            <w:pStyle w:val="GenHead10"/>
            <w:jc w:val="center"/>
          </w:pPr>
          <w:r>
            <w:t>Name or Description</w:t>
          </w:r>
        </w:p>
      </w:tc>
      <w:tc>
        <w:tcPr>
          <w:tcW w:w="1260" w:type="dxa"/>
          <w:vAlign w:val="center"/>
        </w:tcPr>
        <w:p w:rsidR="00696B11" w:rsidRDefault="00696B11" w:rsidP="00264791">
          <w:pPr>
            <w:pStyle w:val="GenHead10"/>
            <w:jc w:val="center"/>
          </w:pPr>
          <w:r>
            <w:t>Amount</w:t>
          </w:r>
        </w:p>
      </w:tc>
      <w:tc>
        <w:tcPr>
          <w:tcW w:w="1620" w:type="dxa"/>
          <w:vAlign w:val="center"/>
        </w:tcPr>
        <w:p w:rsidR="00696B11" w:rsidRDefault="00696B11" w:rsidP="00264791">
          <w:pPr>
            <w:pStyle w:val="GenHead10"/>
            <w:jc w:val="center"/>
          </w:pPr>
          <w:r>
            <w:t>Date of Most Recent Financial Statement</w:t>
          </w:r>
        </w:p>
      </w:tc>
      <w:tc>
        <w:tcPr>
          <w:tcW w:w="3150" w:type="dxa"/>
          <w:gridSpan w:val="2"/>
          <w:tcBorders>
            <w:right w:val="nil"/>
          </w:tcBorders>
          <w:vAlign w:val="center"/>
        </w:tcPr>
        <w:p w:rsidR="00696B11" w:rsidRDefault="00696B11" w:rsidP="00264791">
          <w:pPr>
            <w:pStyle w:val="GenHead10"/>
            <w:jc w:val="center"/>
          </w:pPr>
          <w:r>
            <w:t>Deficiency Description</w:t>
          </w:r>
        </w:p>
      </w:tc>
    </w:tr>
  </w:tbl>
  <w:p w:rsidR="00696B11" w:rsidRDefault="00696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8"/>
      <w:gridCol w:w="1260"/>
      <w:gridCol w:w="3317"/>
      <w:gridCol w:w="1440"/>
      <w:gridCol w:w="18"/>
    </w:tblGrid>
    <w:tr w:rsidR="00696B11">
      <w:trPr>
        <w:gridAfter w:val="1"/>
        <w:wAfter w:w="18" w:type="dxa"/>
        <w:trHeight w:val="600"/>
      </w:trPr>
      <w:tc>
        <w:tcPr>
          <w:tcW w:w="9545" w:type="dxa"/>
          <w:gridSpan w:val="3"/>
          <w:tcBorders>
            <w:left w:val="single" w:sz="4" w:space="0" w:color="FFFFFF"/>
          </w:tcBorders>
          <w:vAlign w:val="center"/>
        </w:tcPr>
        <w:p w:rsidR="00696B11" w:rsidRPr="00A819EB" w:rsidRDefault="00252731" w:rsidP="007B3F9D">
          <w:pPr>
            <w:pStyle w:val="Header"/>
            <w:ind w:left="4" w:hanging="4"/>
            <w:rPr>
              <w:b/>
            </w:rPr>
          </w:pPr>
          <w:bookmarkStart w:id="1" w:name="Inst_Ident_Cell1" w:colFirst="1" w:colLast="1"/>
          <w:r>
            <w:rPr>
              <w:b/>
            </w:rPr>
            <w:t>Assets Requiring Enhanced Monitoring</w:t>
          </w:r>
        </w:p>
      </w:tc>
      <w:tc>
        <w:tcPr>
          <w:tcW w:w="1440" w:type="dxa"/>
          <w:tcBorders>
            <w:right w:val="single" w:sz="4" w:space="0" w:color="FFFFFF"/>
          </w:tcBorders>
          <w:vAlign w:val="center"/>
        </w:tcPr>
        <w:p w:rsidR="00696B11" w:rsidRDefault="00E93ED2" w:rsidP="00E93ED2">
          <w:pPr>
            <w:pStyle w:val="Header"/>
            <w:jc w:val="center"/>
            <w:rPr>
              <w:b/>
            </w:rPr>
          </w:pPr>
          <w:r>
            <w:rPr>
              <w:b/>
            </w:rPr>
            <w:t>Cert#</w:t>
          </w:r>
        </w:p>
      </w:tc>
    </w:tr>
    <w:bookmarkEnd w:id="1"/>
    <w:tr w:rsidR="00696B11" w:rsidRPr="00C341C2" w:rsidTr="00E93ED2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</w:tblPrEx>
      <w:trPr>
        <w:cantSplit/>
        <w:trHeight w:val="705"/>
      </w:trPr>
      <w:tc>
        <w:tcPr>
          <w:tcW w:w="11003" w:type="dxa"/>
          <w:gridSpan w:val="5"/>
          <w:tcBorders>
            <w:left w:val="nil"/>
            <w:bottom w:val="nil"/>
            <w:right w:val="nil"/>
          </w:tcBorders>
          <w:vAlign w:val="center"/>
        </w:tcPr>
        <w:p w:rsidR="006B18F9" w:rsidRDefault="006B18F9" w:rsidP="006B18F9">
          <w:pPr>
            <w:rPr>
              <w:szCs w:val="24"/>
            </w:rPr>
          </w:pPr>
          <w:r>
            <w:rPr>
              <w:szCs w:val="24"/>
            </w:rPr>
            <w:t xml:space="preserve">This Page includes assets which do not appear to present sufficient risk to warrant adverse classification at this examination.  However, these assets exhibit some form of </w:t>
          </w:r>
          <w:proofErr w:type="gramStart"/>
          <w:r>
            <w:rPr>
              <w:szCs w:val="24"/>
            </w:rPr>
            <w:t>weakness(</w:t>
          </w:r>
          <w:proofErr w:type="spellStart"/>
          <w:proofErr w:type="gramEnd"/>
          <w:r>
            <w:rPr>
              <w:szCs w:val="24"/>
            </w:rPr>
            <w:t>es</w:t>
          </w:r>
          <w:proofErr w:type="spellEnd"/>
          <w:r>
            <w:rPr>
              <w:szCs w:val="24"/>
            </w:rPr>
            <w:t>) that deserve management's attention, including closer monitoring and more diligent servicing.  These weaknesses, if left uncorrected, could result in deterioration and a corresponding adverse classification in the future.  Descriptions for the reasons these assets are listed are as follows:</w:t>
          </w:r>
        </w:p>
        <w:p w:rsidR="00696B11" w:rsidRPr="00125B61" w:rsidRDefault="00696B11" w:rsidP="00AB609F">
          <w:pPr>
            <w:pStyle w:val="GenHead10"/>
            <w:rPr>
              <w:szCs w:val="18"/>
            </w:rPr>
          </w:pPr>
        </w:p>
      </w:tc>
    </w:tr>
    <w:tr w:rsidR="00696B11" w:rsidRPr="00C341C2" w:rsidTr="00E93ED2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</w:tblPrEx>
      <w:trPr>
        <w:cantSplit/>
      </w:trPr>
      <w:tc>
        <w:tcPr>
          <w:tcW w:w="11003" w:type="dxa"/>
          <w:gridSpan w:val="5"/>
          <w:tcBorders>
            <w:top w:val="nil"/>
            <w:left w:val="nil"/>
            <w:right w:val="nil"/>
          </w:tcBorders>
        </w:tcPr>
        <w:tbl>
          <w:tblPr>
            <w:tblW w:w="0" w:type="auto"/>
            <w:tblInd w:w="1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544"/>
            <w:gridCol w:w="5246"/>
          </w:tblGrid>
          <w:tr w:rsidR="00882C98" w:rsidTr="00882C98">
            <w:tc>
              <w:tcPr>
                <w:tcW w:w="5544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1 - Adverse economic conditions within specific industry (describe)</w:t>
                </w:r>
              </w:p>
            </w:tc>
            <w:tc>
              <w:tcPr>
                <w:tcW w:w="5246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6 - Outside bank's trade area or area of expertise</w:t>
                </w:r>
              </w:p>
            </w:tc>
          </w:tr>
          <w:tr w:rsidR="00882C98" w:rsidTr="00882C98">
            <w:tc>
              <w:tcPr>
                <w:tcW w:w="5544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2 - Significant financial leverage</w:t>
                </w:r>
              </w:p>
            </w:tc>
            <w:tc>
              <w:tcPr>
                <w:tcW w:w="5246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7 - Marginal performance unrelated to financial condition</w:t>
                </w:r>
              </w:p>
            </w:tc>
          </w:tr>
          <w:tr w:rsidR="00882C98" w:rsidTr="00882C98">
            <w:tc>
              <w:tcPr>
                <w:tcW w:w="5544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3 - Marginal collateral protection</w:t>
                </w:r>
              </w:p>
            </w:tc>
            <w:tc>
              <w:tcPr>
                <w:tcW w:w="5246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8 - Emerging Risk Characteristics (describe)</w:t>
                </w:r>
              </w:p>
            </w:tc>
          </w:tr>
          <w:tr w:rsidR="00882C98" w:rsidTr="00882C98">
            <w:tc>
              <w:tcPr>
                <w:tcW w:w="5544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4 - Overreliance upon guarantors</w:t>
                </w:r>
              </w:p>
            </w:tc>
            <w:tc>
              <w:tcPr>
                <w:tcW w:w="5246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9 </w:t>
                </w:r>
                <w:r w:rsidR="00FD2BCF">
                  <w:rPr>
                    <w:color w:val="000000"/>
                    <w:sz w:val="20"/>
                  </w:rPr>
                  <w:t>–</w:t>
                </w:r>
                <w:r>
                  <w:rPr>
                    <w:color w:val="000000"/>
                    <w:sz w:val="20"/>
                  </w:rPr>
                  <w:t xml:space="preserve"> </w:t>
                </w:r>
                <w:r w:rsidR="00FD2BCF">
                  <w:rPr>
                    <w:color w:val="000000"/>
                    <w:sz w:val="20"/>
                  </w:rPr>
                  <w:t>[user defined]</w:t>
                </w:r>
              </w:p>
            </w:tc>
          </w:tr>
          <w:tr w:rsidR="00882C98" w:rsidTr="00882C98">
            <w:tc>
              <w:tcPr>
                <w:tcW w:w="5544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 5 - Elevated volume of technical exceptions</w:t>
                </w:r>
              </w:p>
            </w:tc>
            <w:tc>
              <w:tcPr>
                <w:tcW w:w="5246" w:type="dxa"/>
                <w:tcMar>
                  <w:top w:w="10" w:type="dxa"/>
                  <w:left w:w="10" w:type="dxa"/>
                  <w:bottom w:w="10" w:type="dxa"/>
                  <w:right w:w="10" w:type="dxa"/>
                </w:tcMar>
                <w:hideMark/>
              </w:tcPr>
              <w:p w:rsidR="00882C98" w:rsidRDefault="00882C98" w:rsidP="00882C98">
                <w:pPr>
                  <w:autoSpaceDE w:val="0"/>
                  <w:autoSpaceDN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10 </w:t>
                </w:r>
                <w:r w:rsidR="00FD2BCF">
                  <w:rPr>
                    <w:color w:val="000000"/>
                    <w:sz w:val="20"/>
                  </w:rPr>
                  <w:t>–</w:t>
                </w:r>
                <w:r>
                  <w:rPr>
                    <w:color w:val="000000"/>
                    <w:sz w:val="20"/>
                  </w:rPr>
                  <w:t xml:space="preserve"> </w:t>
                </w:r>
                <w:r w:rsidR="00FD2BCF">
                  <w:rPr>
                    <w:color w:val="000000"/>
                    <w:sz w:val="20"/>
                  </w:rPr>
                  <w:t>[user defined]</w:t>
                </w:r>
                <w:bookmarkStart w:id="2" w:name="_GoBack"/>
                <w:bookmarkEnd w:id="2"/>
              </w:p>
            </w:tc>
          </w:tr>
        </w:tbl>
        <w:p w:rsidR="00696B11" w:rsidRPr="00125B61" w:rsidRDefault="00696B11" w:rsidP="00882C98">
          <w:pPr>
            <w:pStyle w:val="GenHead10"/>
            <w:tabs>
              <w:tab w:val="clear" w:pos="4320"/>
              <w:tab w:val="clear" w:pos="8640"/>
              <w:tab w:val="left" w:pos="274"/>
              <w:tab w:val="left" w:pos="5227"/>
            </w:tabs>
            <w:rPr>
              <w:szCs w:val="18"/>
            </w:rPr>
          </w:pPr>
        </w:p>
      </w:tc>
    </w:tr>
    <w:tr w:rsidR="00E93ED2" w:rsidRPr="00C341C2" w:rsidTr="00E93ED2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</w:tblPrEx>
      <w:trPr>
        <w:trHeight w:val="606"/>
      </w:trPr>
      <w:tc>
        <w:tcPr>
          <w:tcW w:w="4968" w:type="dxa"/>
          <w:tcBorders>
            <w:left w:val="nil"/>
          </w:tcBorders>
          <w:vAlign w:val="center"/>
        </w:tcPr>
        <w:p w:rsidR="00E93ED2" w:rsidRPr="00C341C2" w:rsidRDefault="00E93ED2" w:rsidP="00C341C2">
          <w:pPr>
            <w:pStyle w:val="GenHead10"/>
            <w:jc w:val="center"/>
          </w:pPr>
          <w:r w:rsidRPr="00C341C2">
            <w:t>Name or Description</w:t>
          </w:r>
        </w:p>
      </w:tc>
      <w:tc>
        <w:tcPr>
          <w:tcW w:w="1260" w:type="dxa"/>
          <w:vAlign w:val="center"/>
        </w:tcPr>
        <w:p w:rsidR="00E93ED2" w:rsidRPr="00C341C2" w:rsidRDefault="00E93ED2" w:rsidP="00C341C2">
          <w:pPr>
            <w:pStyle w:val="GenHead10"/>
            <w:jc w:val="center"/>
          </w:pPr>
          <w:r w:rsidRPr="00C341C2">
            <w:t>Amount</w:t>
          </w:r>
        </w:p>
      </w:tc>
      <w:tc>
        <w:tcPr>
          <w:tcW w:w="4775" w:type="dxa"/>
          <w:gridSpan w:val="3"/>
          <w:tcBorders>
            <w:right w:val="nil"/>
          </w:tcBorders>
          <w:vAlign w:val="center"/>
        </w:tcPr>
        <w:p w:rsidR="00E93ED2" w:rsidRPr="00C341C2" w:rsidRDefault="00E93ED2" w:rsidP="00E93ED2">
          <w:pPr>
            <w:pStyle w:val="GenHead10"/>
            <w:jc w:val="center"/>
          </w:pPr>
          <w:r w:rsidRPr="00C341C2">
            <w:t>Description</w:t>
          </w:r>
        </w:p>
      </w:tc>
    </w:tr>
  </w:tbl>
  <w:p w:rsidR="00696B11" w:rsidRPr="00C341C2" w:rsidRDefault="00696B11" w:rsidP="00C341C2">
    <w:pPr>
      <w:pStyle w:val="GenHead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BFile" w:val="c:\appdata\genesys\19679\Cert19679_FDIC.mdb"/>
  </w:docVars>
  <w:rsids>
    <w:rsidRoot w:val="004D7DFE"/>
    <w:rsid w:val="00004736"/>
    <w:rsid w:val="00006BA2"/>
    <w:rsid w:val="000221C5"/>
    <w:rsid w:val="00086036"/>
    <w:rsid w:val="00093EA3"/>
    <w:rsid w:val="000B5747"/>
    <w:rsid w:val="00112006"/>
    <w:rsid w:val="0012294A"/>
    <w:rsid w:val="00125B61"/>
    <w:rsid w:val="001B0FE8"/>
    <w:rsid w:val="002066B0"/>
    <w:rsid w:val="00223F23"/>
    <w:rsid w:val="00252731"/>
    <w:rsid w:val="00264791"/>
    <w:rsid w:val="00266D1D"/>
    <w:rsid w:val="002703F0"/>
    <w:rsid w:val="002910A4"/>
    <w:rsid w:val="002B4D51"/>
    <w:rsid w:val="002C2039"/>
    <w:rsid w:val="003142B9"/>
    <w:rsid w:val="003536C8"/>
    <w:rsid w:val="00386A57"/>
    <w:rsid w:val="003A74C5"/>
    <w:rsid w:val="003C5D3D"/>
    <w:rsid w:val="00417DF0"/>
    <w:rsid w:val="004505D5"/>
    <w:rsid w:val="004C0817"/>
    <w:rsid w:val="004D7DFE"/>
    <w:rsid w:val="00570EC7"/>
    <w:rsid w:val="005C731A"/>
    <w:rsid w:val="005D0C40"/>
    <w:rsid w:val="006006E9"/>
    <w:rsid w:val="006163D5"/>
    <w:rsid w:val="00630443"/>
    <w:rsid w:val="0063522F"/>
    <w:rsid w:val="00696B11"/>
    <w:rsid w:val="006A58EB"/>
    <w:rsid w:val="006B18F9"/>
    <w:rsid w:val="006B2E02"/>
    <w:rsid w:val="006D1F3B"/>
    <w:rsid w:val="00724B83"/>
    <w:rsid w:val="007314B0"/>
    <w:rsid w:val="00764A66"/>
    <w:rsid w:val="00764CC7"/>
    <w:rsid w:val="00775FF5"/>
    <w:rsid w:val="007B3F9D"/>
    <w:rsid w:val="00824D56"/>
    <w:rsid w:val="008260A3"/>
    <w:rsid w:val="008373E4"/>
    <w:rsid w:val="008562DC"/>
    <w:rsid w:val="00882C98"/>
    <w:rsid w:val="008C16B9"/>
    <w:rsid w:val="009215BF"/>
    <w:rsid w:val="009353A3"/>
    <w:rsid w:val="0094647A"/>
    <w:rsid w:val="00975627"/>
    <w:rsid w:val="009D5DA7"/>
    <w:rsid w:val="00A12AB0"/>
    <w:rsid w:val="00A7240A"/>
    <w:rsid w:val="00A819EB"/>
    <w:rsid w:val="00AA2F72"/>
    <w:rsid w:val="00AA386F"/>
    <w:rsid w:val="00AB609F"/>
    <w:rsid w:val="00AB6475"/>
    <w:rsid w:val="00AE3B26"/>
    <w:rsid w:val="00AF1C26"/>
    <w:rsid w:val="00AF5CB2"/>
    <w:rsid w:val="00B262C5"/>
    <w:rsid w:val="00B5414B"/>
    <w:rsid w:val="00B56430"/>
    <w:rsid w:val="00B94B19"/>
    <w:rsid w:val="00C341C2"/>
    <w:rsid w:val="00CC2188"/>
    <w:rsid w:val="00D77EF4"/>
    <w:rsid w:val="00DA09C0"/>
    <w:rsid w:val="00DA5BF7"/>
    <w:rsid w:val="00DE744E"/>
    <w:rsid w:val="00DF2FB2"/>
    <w:rsid w:val="00E052F0"/>
    <w:rsid w:val="00E11F03"/>
    <w:rsid w:val="00E1445A"/>
    <w:rsid w:val="00E14C60"/>
    <w:rsid w:val="00E33029"/>
    <w:rsid w:val="00E93ED2"/>
    <w:rsid w:val="00EA624B"/>
    <w:rsid w:val="00ED1651"/>
    <w:rsid w:val="00FB4339"/>
    <w:rsid w:val="00FB574A"/>
    <w:rsid w:val="00FD2BC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D6DAF50-F165-450D-82B9-FDCC0498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4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1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1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4A66"/>
    <w:rPr>
      <w:sz w:val="20"/>
    </w:rPr>
  </w:style>
  <w:style w:type="paragraph" w:customStyle="1" w:styleId="GenHead10">
    <w:name w:val="Gen_Head_10"/>
    <w:rsid w:val="00DF2FB2"/>
    <w:pPr>
      <w:tabs>
        <w:tab w:val="center" w:pos="4320"/>
        <w:tab w:val="right" w:pos="8640"/>
      </w:tabs>
    </w:pPr>
    <w:rPr>
      <w:rFonts w:cs="Tahom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DATA\Genesys%20Core%20Files\bin\ROE\PageTemplates\Assets%20with%20Credit%20Data%20or%20Collateral%20Documentation%20Excep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BS Document" ma:contentTypeID="0x010100A74E2E38B04E98469605609619225C4A00F8D2D7E44C51C04F8E1A21DCF8CEF48F" ma:contentTypeVersion="1" ma:contentTypeDescription="" ma:contentTypeScope="" ma:versionID="35b93de78fe6b15cd1bfda5edc19d5ec">
  <xsd:schema xmlns:xsd="http://www.w3.org/2001/XMLSchema" xmlns:p="http://schemas.microsoft.com/office/2006/metadata/properties" targetNamespace="http://schemas.microsoft.com/office/2006/metadata/properties" ma:root="true" ma:fieldsID="8f2c0c9f574d116490dff49720533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E9B704-A5AB-4CDA-8580-240BC5160E8F}"/>
</file>

<file path=customXml/itemProps2.xml><?xml version="1.0" encoding="utf-8"?>
<ds:datastoreItem xmlns:ds="http://schemas.openxmlformats.org/officeDocument/2006/customXml" ds:itemID="{A23C85FD-C081-4216-9ECF-CC114D3AEE16}"/>
</file>

<file path=customXml/itemProps3.xml><?xml version="1.0" encoding="utf-8"?>
<ds:datastoreItem xmlns:ds="http://schemas.openxmlformats.org/officeDocument/2006/customXml" ds:itemID="{0C44DFD2-9181-4F6A-AEFE-58927A15F77B}"/>
</file>

<file path=docProps/app.xml><?xml version="1.0" encoding="utf-8"?>
<Properties xmlns="http://schemas.openxmlformats.org/officeDocument/2006/extended-properties" xmlns:vt="http://schemas.openxmlformats.org/officeDocument/2006/docPropsVTypes">
  <Template>Assets with Credit Data or Collateral Documentation Exceptions.dot</Template>
  <TotalTime>1</TotalTime>
  <Pages>1</Pages>
  <Words>18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with Credit Data or Collateral Documentation Exceptions</vt:lpstr>
    </vt:vector>
  </TitlesOfParts>
  <Company>FDIC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Requiring Enhanced Monitoring Examination Page</dc:title>
  <dc:subject>Genesys ROE Document</dc:subject>
  <dc:creator>Michael Kellum</dc:creator>
  <cp:lastModifiedBy>Kyle Thomas</cp:lastModifiedBy>
  <cp:revision>2</cp:revision>
  <cp:lastPrinted>2015-06-29T16:29:00Z</cp:lastPrinted>
  <dcterms:created xsi:type="dcterms:W3CDTF">2016-02-25T14:12:00Z</dcterms:created>
  <dcterms:modified xsi:type="dcterms:W3CDTF">2016-02-25T14:12:00Z</dcterms:modified>
  <cp:contentType>CSBS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0x010100A74E2E38B04E98469605609619225C4A00F8D2D7E44C51C04F8E1A21DCF8CEF48F</vt:lpwstr>
  </property>
</Properties>
</file>