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87F" w:rsidRPr="0008572D" w:rsidRDefault="0066487F" w:rsidP="0066487F">
      <w:pPr>
        <w:jc w:val="center"/>
        <w:rPr>
          <w:rFonts w:ascii="Arial" w:hAnsi="Arial" w:cs="Arial"/>
          <w:b/>
          <w:sz w:val="24"/>
          <w:szCs w:val="24"/>
          <w:u w:val="single"/>
        </w:rPr>
      </w:pPr>
      <w:r w:rsidRPr="0008572D">
        <w:rPr>
          <w:rFonts w:ascii="Arial" w:hAnsi="Arial" w:cs="Arial"/>
          <w:b/>
          <w:sz w:val="24"/>
          <w:szCs w:val="24"/>
          <w:u w:val="single"/>
        </w:rPr>
        <w:t>MMC MORTGAGE EXAMINATION MANUAL</w:t>
      </w:r>
    </w:p>
    <w:p w:rsidR="0066487F" w:rsidRPr="0008572D" w:rsidRDefault="0066487F" w:rsidP="00CD1DDF">
      <w:pPr>
        <w:pStyle w:val="Subtitle"/>
        <w:jc w:val="center"/>
        <w:rPr>
          <w:rFonts w:ascii="Arial" w:hAnsi="Arial" w:cs="Arial"/>
        </w:rPr>
      </w:pPr>
      <w:r w:rsidRPr="0008572D">
        <w:rPr>
          <w:rFonts w:ascii="Arial" w:hAnsi="Arial" w:cs="Arial"/>
        </w:rPr>
        <w:t>Bank Secrecy Act / Anti-Money Laundering Program and Suspicious Activity Report Filing Requirements</w:t>
      </w:r>
    </w:p>
    <w:p w:rsidR="0066487F" w:rsidRPr="0008572D" w:rsidRDefault="00F4033A" w:rsidP="0066487F">
      <w:pPr>
        <w:pStyle w:val="Header"/>
        <w:jc w:val="center"/>
        <w:rPr>
          <w:rFonts w:ascii="Arial" w:hAnsi="Arial" w:cs="Arial"/>
          <w:noProof/>
        </w:rPr>
      </w:pPr>
      <w:r>
        <w:rPr>
          <w:rFonts w:ascii="Arial" w:hAnsi="Arial" w:cs="Arial"/>
          <w:noProof/>
        </w:rPr>
        <w:drawing>
          <wp:inline distT="0" distB="0" distL="0" distR="0">
            <wp:extent cx="2700655" cy="690880"/>
            <wp:effectExtent l="0" t="0" r="4445" b="0"/>
            <wp:docPr id="4" name="Picture 2" descr="CSBS_icon_RGB">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BS_icon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0655" cy="690880"/>
                    </a:xfrm>
                    <a:prstGeom prst="rect">
                      <a:avLst/>
                    </a:prstGeom>
                    <a:noFill/>
                    <a:ln>
                      <a:noFill/>
                    </a:ln>
                  </pic:spPr>
                </pic:pic>
              </a:graphicData>
            </a:graphic>
          </wp:inline>
        </w:drawing>
      </w:r>
      <w:r w:rsidR="0066487F" w:rsidRPr="0008572D">
        <w:rPr>
          <w:rFonts w:ascii="Arial" w:hAnsi="Arial" w:cs="Arial"/>
        </w:rPr>
        <w:tab/>
      </w:r>
      <w:bookmarkStart w:id="0" w:name="_GoBack"/>
      <w:bookmarkEnd w:id="0"/>
      <w:r w:rsidR="0066487F" w:rsidRPr="0008572D">
        <w:rPr>
          <w:rFonts w:ascii="Arial" w:hAnsi="Arial" w:cs="Arial"/>
        </w:rPr>
        <w:t xml:space="preserve"> </w:t>
      </w:r>
      <w:r w:rsidR="0066487F" w:rsidRPr="0008572D">
        <w:rPr>
          <w:rFonts w:ascii="Arial" w:hAnsi="Arial" w:cs="Arial"/>
        </w:rPr>
        <w:tab/>
      </w:r>
      <w:r>
        <w:rPr>
          <w:rFonts w:ascii="Arial" w:hAnsi="Arial" w:cs="Arial"/>
          <w:noProof/>
        </w:rPr>
        <w:drawing>
          <wp:inline distT="0" distB="0" distL="0" distR="0">
            <wp:extent cx="967740" cy="1095375"/>
            <wp:effectExtent l="0" t="0" r="3810" b="9525"/>
            <wp:docPr id="3" name="Picture 1" descr="aarmr_logoart.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rmr_logoar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7740" cy="1095375"/>
                    </a:xfrm>
                    <a:prstGeom prst="rect">
                      <a:avLst/>
                    </a:prstGeom>
                    <a:noFill/>
                    <a:ln>
                      <a:noFill/>
                    </a:ln>
                  </pic:spPr>
                </pic:pic>
              </a:graphicData>
            </a:graphic>
          </wp:inline>
        </w:drawing>
      </w:r>
    </w:p>
    <w:p w:rsidR="0066487F" w:rsidRPr="0008572D" w:rsidRDefault="0066487F" w:rsidP="0066487F">
      <w:pPr>
        <w:pStyle w:val="Header"/>
        <w:jc w:val="center"/>
        <w:rPr>
          <w:rFonts w:ascii="Arial" w:hAnsi="Arial" w:cs="Arial"/>
        </w:rPr>
      </w:pPr>
    </w:p>
    <w:p w:rsidR="00CD41ED" w:rsidRDefault="00CD41ED" w:rsidP="0066487F">
      <w:pPr>
        <w:spacing w:after="0" w:line="240" w:lineRule="auto"/>
        <w:jc w:val="center"/>
        <w:rPr>
          <w:rFonts w:ascii="Arial" w:eastAsia="Times New Roman" w:hAnsi="Arial" w:cs="Arial"/>
          <w:b/>
          <w:sz w:val="24"/>
          <w:szCs w:val="24"/>
        </w:rPr>
      </w:pPr>
    </w:p>
    <w:p w:rsidR="0066487F" w:rsidRPr="0066487F" w:rsidRDefault="0066487F" w:rsidP="0066487F">
      <w:pPr>
        <w:spacing w:after="0" w:line="240" w:lineRule="auto"/>
        <w:jc w:val="center"/>
        <w:rPr>
          <w:rFonts w:ascii="Arial" w:eastAsia="Times New Roman" w:hAnsi="Arial" w:cs="Arial"/>
          <w:b/>
          <w:sz w:val="24"/>
          <w:szCs w:val="24"/>
        </w:rPr>
      </w:pPr>
      <w:r w:rsidRPr="0066487F">
        <w:rPr>
          <w:rFonts w:ascii="Arial" w:eastAsia="Times New Roman" w:hAnsi="Arial" w:cs="Arial"/>
          <w:b/>
          <w:sz w:val="24"/>
          <w:szCs w:val="24"/>
        </w:rPr>
        <w:t>MULTI-STATE MORTGAGE COMMITTEE</w:t>
      </w:r>
    </w:p>
    <w:p w:rsidR="0066487F" w:rsidRPr="0066487F" w:rsidRDefault="0066487F" w:rsidP="0066487F">
      <w:pPr>
        <w:spacing w:after="0" w:line="240" w:lineRule="auto"/>
        <w:jc w:val="center"/>
        <w:rPr>
          <w:rFonts w:ascii="Arial" w:eastAsia="Times New Roman" w:hAnsi="Arial" w:cs="Arial"/>
          <w:sz w:val="24"/>
          <w:szCs w:val="24"/>
        </w:rPr>
      </w:pPr>
      <w:r w:rsidRPr="0066487F">
        <w:rPr>
          <w:rFonts w:ascii="Arial" w:eastAsia="Times New Roman" w:hAnsi="Arial" w:cs="Arial"/>
          <w:sz w:val="24"/>
          <w:szCs w:val="24"/>
        </w:rPr>
        <w:t>1129 20</w:t>
      </w:r>
      <w:r w:rsidRPr="0066487F">
        <w:rPr>
          <w:rFonts w:ascii="Arial" w:eastAsia="Times New Roman" w:hAnsi="Arial" w:cs="Arial"/>
          <w:sz w:val="24"/>
          <w:szCs w:val="24"/>
          <w:vertAlign w:val="superscript"/>
        </w:rPr>
        <w:t>th</w:t>
      </w:r>
      <w:r w:rsidRPr="0066487F">
        <w:rPr>
          <w:rFonts w:ascii="Arial" w:eastAsia="Times New Roman" w:hAnsi="Arial" w:cs="Arial"/>
          <w:sz w:val="24"/>
          <w:szCs w:val="24"/>
        </w:rPr>
        <w:t xml:space="preserve"> Street, NW, Ninth Floor</w:t>
      </w:r>
    </w:p>
    <w:p w:rsidR="0066487F" w:rsidRPr="0066487F" w:rsidRDefault="0066487F" w:rsidP="0066487F">
      <w:pPr>
        <w:spacing w:after="0" w:line="240" w:lineRule="auto"/>
        <w:jc w:val="center"/>
        <w:rPr>
          <w:rFonts w:ascii="Arial" w:eastAsia="Times New Roman" w:hAnsi="Arial" w:cs="Arial"/>
          <w:sz w:val="24"/>
          <w:szCs w:val="24"/>
        </w:rPr>
      </w:pPr>
      <w:r w:rsidRPr="0066487F">
        <w:rPr>
          <w:rFonts w:ascii="Arial" w:eastAsia="Times New Roman" w:hAnsi="Arial" w:cs="Arial"/>
          <w:sz w:val="24"/>
          <w:szCs w:val="24"/>
        </w:rPr>
        <w:t>Washington, D.C. 20036</w:t>
      </w:r>
    </w:p>
    <w:p w:rsidR="0066487F" w:rsidRPr="0066487F" w:rsidRDefault="0066487F" w:rsidP="0066487F">
      <w:pPr>
        <w:spacing w:after="0" w:line="240" w:lineRule="auto"/>
        <w:jc w:val="center"/>
        <w:rPr>
          <w:rFonts w:ascii="Arial" w:eastAsia="Times New Roman" w:hAnsi="Arial" w:cs="Arial"/>
          <w:sz w:val="24"/>
          <w:szCs w:val="24"/>
        </w:rPr>
      </w:pPr>
      <w:r w:rsidRPr="0066487F">
        <w:rPr>
          <w:rFonts w:ascii="Arial" w:eastAsia="Times New Roman" w:hAnsi="Arial" w:cs="Arial"/>
          <w:sz w:val="24"/>
          <w:szCs w:val="24"/>
        </w:rPr>
        <w:t>Telephone: (202) 728-5756 ● Facsimile (202) 728-0000</w:t>
      </w:r>
    </w:p>
    <w:p w:rsidR="005B5345" w:rsidRDefault="005B5345" w:rsidP="00CD41ED">
      <w:pPr>
        <w:spacing w:after="0" w:line="240" w:lineRule="auto"/>
        <w:jc w:val="center"/>
        <w:rPr>
          <w:rFonts w:ascii="Arial" w:eastAsia="Times New Roman" w:hAnsi="Arial" w:cs="Arial"/>
          <w:sz w:val="24"/>
          <w:szCs w:val="24"/>
        </w:rPr>
      </w:pPr>
    </w:p>
    <w:p w:rsidR="00CD41ED" w:rsidRDefault="00CD41ED" w:rsidP="0066487F">
      <w:pPr>
        <w:spacing w:after="0" w:line="240" w:lineRule="auto"/>
        <w:jc w:val="center"/>
        <w:rPr>
          <w:rFonts w:ascii="Arial" w:eastAsia="Times New Roman" w:hAnsi="Arial" w:cs="Arial"/>
          <w:sz w:val="24"/>
          <w:szCs w:val="24"/>
        </w:rPr>
      </w:pPr>
    </w:p>
    <w:p w:rsidR="002333BB" w:rsidRPr="00EC5B59" w:rsidRDefault="002333BB" w:rsidP="00EC5B59">
      <w:pPr>
        <w:pStyle w:val="TOCHeading"/>
        <w:spacing w:before="0" w:line="240" w:lineRule="auto"/>
        <w:rPr>
          <w:rFonts w:ascii="Arial" w:hAnsi="Arial" w:cs="Arial"/>
          <w:sz w:val="24"/>
          <w:szCs w:val="24"/>
        </w:rPr>
      </w:pPr>
      <w:r w:rsidRPr="00EC5B59">
        <w:rPr>
          <w:rFonts w:ascii="Arial" w:hAnsi="Arial" w:cs="Arial"/>
          <w:sz w:val="24"/>
          <w:szCs w:val="24"/>
        </w:rPr>
        <w:t>Table of Contents</w:t>
      </w:r>
    </w:p>
    <w:p w:rsidR="00EC5B59" w:rsidRPr="00EC5B59" w:rsidRDefault="001A276C" w:rsidP="00EC5B59">
      <w:pPr>
        <w:pStyle w:val="TOC1"/>
        <w:tabs>
          <w:tab w:val="right" w:leader="dot" w:pos="9350"/>
        </w:tabs>
        <w:spacing w:after="0" w:line="240" w:lineRule="auto"/>
        <w:rPr>
          <w:rFonts w:ascii="Arial" w:eastAsia="Times New Roman" w:hAnsi="Arial" w:cs="Arial"/>
          <w:noProof/>
        </w:rPr>
      </w:pPr>
      <w:r w:rsidRPr="001A276C">
        <w:rPr>
          <w:rFonts w:ascii="Arial" w:hAnsi="Arial" w:cs="Arial"/>
          <w:sz w:val="24"/>
          <w:szCs w:val="24"/>
        </w:rPr>
        <w:fldChar w:fldCharType="begin"/>
      </w:r>
      <w:r w:rsidR="002333BB" w:rsidRPr="00EC5B59">
        <w:rPr>
          <w:rFonts w:ascii="Arial" w:hAnsi="Arial" w:cs="Arial"/>
          <w:sz w:val="24"/>
          <w:szCs w:val="24"/>
        </w:rPr>
        <w:instrText xml:space="preserve"> TOC \o "1-3" \h \z \u </w:instrText>
      </w:r>
      <w:r w:rsidRPr="001A276C">
        <w:rPr>
          <w:rFonts w:ascii="Arial" w:hAnsi="Arial" w:cs="Arial"/>
          <w:sz w:val="24"/>
          <w:szCs w:val="24"/>
        </w:rPr>
        <w:fldChar w:fldCharType="separate"/>
      </w:r>
      <w:hyperlink w:anchor="_Toc335314186" w:history="1">
        <w:r w:rsidR="00EC5B59" w:rsidRPr="00EC5B59">
          <w:rPr>
            <w:rStyle w:val="Hyperlink"/>
            <w:rFonts w:ascii="Arial" w:hAnsi="Arial" w:cs="Arial"/>
            <w:noProof/>
          </w:rPr>
          <w:t>Overview</w:t>
        </w:r>
        <w:r w:rsidR="00EC5B59" w:rsidRPr="00EC5B59">
          <w:rPr>
            <w:rFonts w:ascii="Arial" w:hAnsi="Arial" w:cs="Arial"/>
            <w:noProof/>
            <w:webHidden/>
          </w:rPr>
          <w:tab/>
        </w:r>
        <w:r w:rsidRPr="00EC5B59">
          <w:rPr>
            <w:rFonts w:ascii="Arial" w:hAnsi="Arial" w:cs="Arial"/>
            <w:noProof/>
            <w:webHidden/>
          </w:rPr>
          <w:fldChar w:fldCharType="begin"/>
        </w:r>
        <w:r w:rsidR="00EC5B59" w:rsidRPr="00EC5B59">
          <w:rPr>
            <w:rFonts w:ascii="Arial" w:hAnsi="Arial" w:cs="Arial"/>
            <w:noProof/>
            <w:webHidden/>
          </w:rPr>
          <w:instrText xml:space="preserve"> PAGEREF _Toc335314186 \h </w:instrText>
        </w:r>
        <w:r w:rsidRPr="00EC5B59">
          <w:rPr>
            <w:rFonts w:ascii="Arial" w:hAnsi="Arial" w:cs="Arial"/>
            <w:noProof/>
            <w:webHidden/>
          </w:rPr>
        </w:r>
        <w:r w:rsidRPr="00EC5B59">
          <w:rPr>
            <w:rFonts w:ascii="Arial" w:hAnsi="Arial" w:cs="Arial"/>
            <w:noProof/>
            <w:webHidden/>
          </w:rPr>
          <w:fldChar w:fldCharType="separate"/>
        </w:r>
        <w:r w:rsidR="00EC5B59" w:rsidRPr="00EC5B59">
          <w:rPr>
            <w:rFonts w:ascii="Arial" w:hAnsi="Arial" w:cs="Arial"/>
            <w:noProof/>
            <w:webHidden/>
          </w:rPr>
          <w:t>2</w:t>
        </w:r>
        <w:r w:rsidRPr="00EC5B59">
          <w:rPr>
            <w:rFonts w:ascii="Arial" w:hAnsi="Arial" w:cs="Arial"/>
            <w:noProof/>
            <w:webHidden/>
          </w:rPr>
          <w:fldChar w:fldCharType="end"/>
        </w:r>
      </w:hyperlink>
    </w:p>
    <w:p w:rsidR="00EC5B59" w:rsidRPr="00EC5B59" w:rsidRDefault="001A276C" w:rsidP="00EC5B59">
      <w:pPr>
        <w:pStyle w:val="TOC1"/>
        <w:tabs>
          <w:tab w:val="right" w:leader="dot" w:pos="9350"/>
        </w:tabs>
        <w:spacing w:after="0" w:line="240" w:lineRule="auto"/>
        <w:rPr>
          <w:rFonts w:ascii="Arial" w:eastAsia="Times New Roman" w:hAnsi="Arial" w:cs="Arial"/>
          <w:noProof/>
        </w:rPr>
      </w:pPr>
      <w:hyperlink w:anchor="_Toc335314187" w:history="1">
        <w:r w:rsidR="00EC5B59" w:rsidRPr="00EC5B59">
          <w:rPr>
            <w:rStyle w:val="Hyperlink"/>
            <w:rFonts w:ascii="Arial" w:hAnsi="Arial" w:cs="Arial"/>
            <w:noProof/>
          </w:rPr>
          <w:t>Anti-Money Laundering Program</w:t>
        </w:r>
        <w:r w:rsidR="00EC5B59" w:rsidRPr="00EC5B59">
          <w:rPr>
            <w:rFonts w:ascii="Arial" w:hAnsi="Arial" w:cs="Arial"/>
            <w:noProof/>
            <w:webHidden/>
          </w:rPr>
          <w:tab/>
        </w:r>
        <w:r w:rsidRPr="00EC5B59">
          <w:rPr>
            <w:rFonts w:ascii="Arial" w:hAnsi="Arial" w:cs="Arial"/>
            <w:noProof/>
            <w:webHidden/>
          </w:rPr>
          <w:fldChar w:fldCharType="begin"/>
        </w:r>
        <w:r w:rsidR="00EC5B59" w:rsidRPr="00EC5B59">
          <w:rPr>
            <w:rFonts w:ascii="Arial" w:hAnsi="Arial" w:cs="Arial"/>
            <w:noProof/>
            <w:webHidden/>
          </w:rPr>
          <w:instrText xml:space="preserve"> PAGEREF _Toc335314187 \h </w:instrText>
        </w:r>
        <w:r w:rsidRPr="00EC5B59">
          <w:rPr>
            <w:rFonts w:ascii="Arial" w:hAnsi="Arial" w:cs="Arial"/>
            <w:noProof/>
            <w:webHidden/>
          </w:rPr>
        </w:r>
        <w:r w:rsidRPr="00EC5B59">
          <w:rPr>
            <w:rFonts w:ascii="Arial" w:hAnsi="Arial" w:cs="Arial"/>
            <w:noProof/>
            <w:webHidden/>
          </w:rPr>
          <w:fldChar w:fldCharType="separate"/>
        </w:r>
        <w:r w:rsidR="00EC5B59" w:rsidRPr="00EC5B59">
          <w:rPr>
            <w:rFonts w:ascii="Arial" w:hAnsi="Arial" w:cs="Arial"/>
            <w:noProof/>
            <w:webHidden/>
          </w:rPr>
          <w:t>4</w:t>
        </w:r>
        <w:r w:rsidRPr="00EC5B59">
          <w:rPr>
            <w:rFonts w:ascii="Arial" w:hAnsi="Arial" w:cs="Arial"/>
            <w:noProof/>
            <w:webHidden/>
          </w:rPr>
          <w:fldChar w:fldCharType="end"/>
        </w:r>
      </w:hyperlink>
    </w:p>
    <w:p w:rsidR="00EC5B59" w:rsidRPr="00EC5B59" w:rsidRDefault="001A276C" w:rsidP="00EC5B59">
      <w:pPr>
        <w:pStyle w:val="TOC2"/>
        <w:rPr>
          <w:rFonts w:ascii="Arial" w:eastAsia="Times New Roman" w:hAnsi="Arial" w:cs="Arial"/>
          <w:noProof/>
        </w:rPr>
      </w:pPr>
      <w:hyperlink w:anchor="_Toc335314188" w:history="1">
        <w:r w:rsidR="00EC5B59" w:rsidRPr="00EC5B59">
          <w:rPr>
            <w:rStyle w:val="Hyperlink"/>
            <w:rFonts w:ascii="Arial" w:hAnsi="Arial" w:cs="Arial"/>
            <w:noProof/>
          </w:rPr>
          <w:t>Introduction</w:t>
        </w:r>
        <w:r w:rsidR="00EC5B59" w:rsidRPr="00EC5B59">
          <w:rPr>
            <w:rFonts w:ascii="Arial" w:hAnsi="Arial" w:cs="Arial"/>
            <w:noProof/>
            <w:webHidden/>
          </w:rPr>
          <w:tab/>
        </w:r>
        <w:r w:rsidRPr="00EC5B59">
          <w:rPr>
            <w:rFonts w:ascii="Arial" w:hAnsi="Arial" w:cs="Arial"/>
            <w:noProof/>
            <w:webHidden/>
          </w:rPr>
          <w:fldChar w:fldCharType="begin"/>
        </w:r>
        <w:r w:rsidR="00EC5B59" w:rsidRPr="00EC5B59">
          <w:rPr>
            <w:rFonts w:ascii="Arial" w:hAnsi="Arial" w:cs="Arial"/>
            <w:noProof/>
            <w:webHidden/>
          </w:rPr>
          <w:instrText xml:space="preserve"> PAGEREF _Toc335314188 \h </w:instrText>
        </w:r>
        <w:r w:rsidRPr="00EC5B59">
          <w:rPr>
            <w:rFonts w:ascii="Arial" w:hAnsi="Arial" w:cs="Arial"/>
            <w:noProof/>
            <w:webHidden/>
          </w:rPr>
        </w:r>
        <w:r w:rsidRPr="00EC5B59">
          <w:rPr>
            <w:rFonts w:ascii="Arial" w:hAnsi="Arial" w:cs="Arial"/>
            <w:noProof/>
            <w:webHidden/>
          </w:rPr>
          <w:fldChar w:fldCharType="separate"/>
        </w:r>
        <w:r w:rsidR="00EC5B59" w:rsidRPr="00EC5B59">
          <w:rPr>
            <w:rFonts w:ascii="Arial" w:hAnsi="Arial" w:cs="Arial"/>
            <w:noProof/>
            <w:webHidden/>
          </w:rPr>
          <w:t>4</w:t>
        </w:r>
        <w:r w:rsidRPr="00EC5B59">
          <w:rPr>
            <w:rFonts w:ascii="Arial" w:hAnsi="Arial" w:cs="Arial"/>
            <w:noProof/>
            <w:webHidden/>
          </w:rPr>
          <w:fldChar w:fldCharType="end"/>
        </w:r>
      </w:hyperlink>
    </w:p>
    <w:p w:rsidR="00EC5B59" w:rsidRPr="00EC5B59" w:rsidRDefault="001A276C" w:rsidP="00EC5B59">
      <w:pPr>
        <w:pStyle w:val="TOC2"/>
        <w:rPr>
          <w:rFonts w:ascii="Arial" w:eastAsia="Times New Roman" w:hAnsi="Arial" w:cs="Arial"/>
          <w:noProof/>
        </w:rPr>
      </w:pPr>
      <w:hyperlink w:anchor="_Toc335314189" w:history="1">
        <w:r w:rsidR="00EC5B59" w:rsidRPr="00EC5B59">
          <w:rPr>
            <w:rStyle w:val="Hyperlink"/>
            <w:rFonts w:ascii="Arial" w:hAnsi="Arial" w:cs="Arial"/>
            <w:noProof/>
          </w:rPr>
          <w:t>Internal Controls and Procedures</w:t>
        </w:r>
        <w:r w:rsidR="00EC5B59" w:rsidRPr="00EC5B59">
          <w:rPr>
            <w:rFonts w:ascii="Arial" w:hAnsi="Arial" w:cs="Arial"/>
            <w:noProof/>
            <w:webHidden/>
          </w:rPr>
          <w:tab/>
        </w:r>
        <w:r w:rsidRPr="00EC5B59">
          <w:rPr>
            <w:rFonts w:ascii="Arial" w:hAnsi="Arial" w:cs="Arial"/>
            <w:noProof/>
            <w:webHidden/>
          </w:rPr>
          <w:fldChar w:fldCharType="begin"/>
        </w:r>
        <w:r w:rsidR="00EC5B59" w:rsidRPr="00EC5B59">
          <w:rPr>
            <w:rFonts w:ascii="Arial" w:hAnsi="Arial" w:cs="Arial"/>
            <w:noProof/>
            <w:webHidden/>
          </w:rPr>
          <w:instrText xml:space="preserve"> PAGEREF _Toc335314189 \h </w:instrText>
        </w:r>
        <w:r w:rsidRPr="00EC5B59">
          <w:rPr>
            <w:rFonts w:ascii="Arial" w:hAnsi="Arial" w:cs="Arial"/>
            <w:noProof/>
            <w:webHidden/>
          </w:rPr>
        </w:r>
        <w:r w:rsidRPr="00EC5B59">
          <w:rPr>
            <w:rFonts w:ascii="Arial" w:hAnsi="Arial" w:cs="Arial"/>
            <w:noProof/>
            <w:webHidden/>
          </w:rPr>
          <w:fldChar w:fldCharType="separate"/>
        </w:r>
        <w:r w:rsidR="00EC5B59" w:rsidRPr="00EC5B59">
          <w:rPr>
            <w:rFonts w:ascii="Arial" w:hAnsi="Arial" w:cs="Arial"/>
            <w:noProof/>
            <w:webHidden/>
          </w:rPr>
          <w:t>5</w:t>
        </w:r>
        <w:r w:rsidRPr="00EC5B59">
          <w:rPr>
            <w:rFonts w:ascii="Arial" w:hAnsi="Arial" w:cs="Arial"/>
            <w:noProof/>
            <w:webHidden/>
          </w:rPr>
          <w:fldChar w:fldCharType="end"/>
        </w:r>
      </w:hyperlink>
    </w:p>
    <w:p w:rsidR="00EC5B59" w:rsidRPr="00EC5B59" w:rsidRDefault="001A276C" w:rsidP="00EC5B59">
      <w:pPr>
        <w:pStyle w:val="TOC2"/>
        <w:rPr>
          <w:rFonts w:ascii="Arial" w:eastAsia="Times New Roman" w:hAnsi="Arial" w:cs="Arial"/>
          <w:noProof/>
        </w:rPr>
      </w:pPr>
      <w:hyperlink w:anchor="_Toc335314190" w:history="1">
        <w:r w:rsidR="00EC5B59" w:rsidRPr="00EC5B59">
          <w:rPr>
            <w:rStyle w:val="Hyperlink"/>
            <w:rFonts w:ascii="Arial" w:hAnsi="Arial" w:cs="Arial"/>
            <w:noProof/>
          </w:rPr>
          <w:t>Designation of a Compliance Officer</w:t>
        </w:r>
        <w:r w:rsidR="00EC5B59" w:rsidRPr="00EC5B59">
          <w:rPr>
            <w:rFonts w:ascii="Arial" w:hAnsi="Arial" w:cs="Arial"/>
            <w:noProof/>
            <w:webHidden/>
          </w:rPr>
          <w:tab/>
        </w:r>
        <w:r w:rsidRPr="00EC5B59">
          <w:rPr>
            <w:rFonts w:ascii="Arial" w:hAnsi="Arial" w:cs="Arial"/>
            <w:noProof/>
            <w:webHidden/>
          </w:rPr>
          <w:fldChar w:fldCharType="begin"/>
        </w:r>
        <w:r w:rsidR="00EC5B59" w:rsidRPr="00EC5B59">
          <w:rPr>
            <w:rFonts w:ascii="Arial" w:hAnsi="Arial" w:cs="Arial"/>
            <w:noProof/>
            <w:webHidden/>
          </w:rPr>
          <w:instrText xml:space="preserve"> PAGEREF _Toc335314190 \h </w:instrText>
        </w:r>
        <w:r w:rsidRPr="00EC5B59">
          <w:rPr>
            <w:rFonts w:ascii="Arial" w:hAnsi="Arial" w:cs="Arial"/>
            <w:noProof/>
            <w:webHidden/>
          </w:rPr>
        </w:r>
        <w:r w:rsidRPr="00EC5B59">
          <w:rPr>
            <w:rFonts w:ascii="Arial" w:hAnsi="Arial" w:cs="Arial"/>
            <w:noProof/>
            <w:webHidden/>
          </w:rPr>
          <w:fldChar w:fldCharType="separate"/>
        </w:r>
        <w:r w:rsidR="00EC5B59" w:rsidRPr="00EC5B59">
          <w:rPr>
            <w:rFonts w:ascii="Arial" w:hAnsi="Arial" w:cs="Arial"/>
            <w:noProof/>
            <w:webHidden/>
          </w:rPr>
          <w:t>5</w:t>
        </w:r>
        <w:r w:rsidRPr="00EC5B59">
          <w:rPr>
            <w:rFonts w:ascii="Arial" w:hAnsi="Arial" w:cs="Arial"/>
            <w:noProof/>
            <w:webHidden/>
          </w:rPr>
          <w:fldChar w:fldCharType="end"/>
        </w:r>
      </w:hyperlink>
    </w:p>
    <w:p w:rsidR="00EC5B59" w:rsidRPr="00EC5B59" w:rsidRDefault="001A276C" w:rsidP="00EC5B59">
      <w:pPr>
        <w:pStyle w:val="TOC2"/>
        <w:rPr>
          <w:rFonts w:ascii="Arial" w:eastAsia="Times New Roman" w:hAnsi="Arial" w:cs="Arial"/>
          <w:noProof/>
        </w:rPr>
      </w:pPr>
      <w:hyperlink w:anchor="_Toc335314191" w:history="1">
        <w:r w:rsidR="00EC5B59" w:rsidRPr="00EC5B59">
          <w:rPr>
            <w:rStyle w:val="Hyperlink"/>
            <w:rFonts w:ascii="Arial" w:hAnsi="Arial" w:cs="Arial"/>
            <w:noProof/>
          </w:rPr>
          <w:t>Training</w:t>
        </w:r>
        <w:r w:rsidR="00EC5B59" w:rsidRPr="00EC5B59">
          <w:rPr>
            <w:rFonts w:ascii="Arial" w:hAnsi="Arial" w:cs="Arial"/>
            <w:noProof/>
            <w:webHidden/>
          </w:rPr>
          <w:tab/>
        </w:r>
        <w:r w:rsidRPr="00EC5B59">
          <w:rPr>
            <w:rFonts w:ascii="Arial" w:hAnsi="Arial" w:cs="Arial"/>
            <w:noProof/>
            <w:webHidden/>
          </w:rPr>
          <w:fldChar w:fldCharType="begin"/>
        </w:r>
        <w:r w:rsidR="00EC5B59" w:rsidRPr="00EC5B59">
          <w:rPr>
            <w:rFonts w:ascii="Arial" w:hAnsi="Arial" w:cs="Arial"/>
            <w:noProof/>
            <w:webHidden/>
          </w:rPr>
          <w:instrText xml:space="preserve"> PAGEREF _Toc335314191 \h </w:instrText>
        </w:r>
        <w:r w:rsidRPr="00EC5B59">
          <w:rPr>
            <w:rFonts w:ascii="Arial" w:hAnsi="Arial" w:cs="Arial"/>
            <w:noProof/>
            <w:webHidden/>
          </w:rPr>
        </w:r>
        <w:r w:rsidRPr="00EC5B59">
          <w:rPr>
            <w:rFonts w:ascii="Arial" w:hAnsi="Arial" w:cs="Arial"/>
            <w:noProof/>
            <w:webHidden/>
          </w:rPr>
          <w:fldChar w:fldCharType="separate"/>
        </w:r>
        <w:r w:rsidR="00EC5B59" w:rsidRPr="00EC5B59">
          <w:rPr>
            <w:rFonts w:ascii="Arial" w:hAnsi="Arial" w:cs="Arial"/>
            <w:noProof/>
            <w:webHidden/>
          </w:rPr>
          <w:t>6</w:t>
        </w:r>
        <w:r w:rsidRPr="00EC5B59">
          <w:rPr>
            <w:rFonts w:ascii="Arial" w:hAnsi="Arial" w:cs="Arial"/>
            <w:noProof/>
            <w:webHidden/>
          </w:rPr>
          <w:fldChar w:fldCharType="end"/>
        </w:r>
      </w:hyperlink>
    </w:p>
    <w:p w:rsidR="00EC5B59" w:rsidRPr="00EC5B59" w:rsidRDefault="001A276C" w:rsidP="00EC5B59">
      <w:pPr>
        <w:pStyle w:val="TOC2"/>
        <w:rPr>
          <w:rFonts w:ascii="Arial" w:eastAsia="Times New Roman" w:hAnsi="Arial" w:cs="Arial"/>
          <w:noProof/>
        </w:rPr>
      </w:pPr>
      <w:hyperlink w:anchor="_Toc335314192" w:history="1">
        <w:r w:rsidR="00EC5B59" w:rsidRPr="00EC5B59">
          <w:rPr>
            <w:rStyle w:val="Hyperlink"/>
            <w:rFonts w:ascii="Arial" w:hAnsi="Arial" w:cs="Arial"/>
            <w:noProof/>
          </w:rPr>
          <w:t>Independent Testing</w:t>
        </w:r>
        <w:r w:rsidR="00EC5B59" w:rsidRPr="00EC5B59">
          <w:rPr>
            <w:rFonts w:ascii="Arial" w:hAnsi="Arial" w:cs="Arial"/>
            <w:noProof/>
            <w:webHidden/>
          </w:rPr>
          <w:tab/>
        </w:r>
        <w:r w:rsidRPr="00EC5B59">
          <w:rPr>
            <w:rFonts w:ascii="Arial" w:hAnsi="Arial" w:cs="Arial"/>
            <w:noProof/>
            <w:webHidden/>
          </w:rPr>
          <w:fldChar w:fldCharType="begin"/>
        </w:r>
        <w:r w:rsidR="00EC5B59" w:rsidRPr="00EC5B59">
          <w:rPr>
            <w:rFonts w:ascii="Arial" w:hAnsi="Arial" w:cs="Arial"/>
            <w:noProof/>
            <w:webHidden/>
          </w:rPr>
          <w:instrText xml:space="preserve"> PAGEREF _Toc335314192 \h </w:instrText>
        </w:r>
        <w:r w:rsidRPr="00EC5B59">
          <w:rPr>
            <w:rFonts w:ascii="Arial" w:hAnsi="Arial" w:cs="Arial"/>
            <w:noProof/>
            <w:webHidden/>
          </w:rPr>
        </w:r>
        <w:r w:rsidRPr="00EC5B59">
          <w:rPr>
            <w:rFonts w:ascii="Arial" w:hAnsi="Arial" w:cs="Arial"/>
            <w:noProof/>
            <w:webHidden/>
          </w:rPr>
          <w:fldChar w:fldCharType="separate"/>
        </w:r>
        <w:r w:rsidR="00EC5B59" w:rsidRPr="00EC5B59">
          <w:rPr>
            <w:rFonts w:ascii="Arial" w:hAnsi="Arial" w:cs="Arial"/>
            <w:noProof/>
            <w:webHidden/>
          </w:rPr>
          <w:t>7</w:t>
        </w:r>
        <w:r w:rsidRPr="00EC5B59">
          <w:rPr>
            <w:rFonts w:ascii="Arial" w:hAnsi="Arial" w:cs="Arial"/>
            <w:noProof/>
            <w:webHidden/>
          </w:rPr>
          <w:fldChar w:fldCharType="end"/>
        </w:r>
      </w:hyperlink>
    </w:p>
    <w:p w:rsidR="00EC5B59" w:rsidRPr="00EC5B59" w:rsidRDefault="001A276C" w:rsidP="00EC5B59">
      <w:pPr>
        <w:pStyle w:val="TOC2"/>
        <w:rPr>
          <w:rFonts w:ascii="Arial" w:eastAsia="Times New Roman" w:hAnsi="Arial" w:cs="Arial"/>
          <w:noProof/>
        </w:rPr>
      </w:pPr>
      <w:hyperlink w:anchor="_Toc335314193" w:history="1">
        <w:r w:rsidR="00EC5B59" w:rsidRPr="00EC5B59">
          <w:rPr>
            <w:rStyle w:val="Hyperlink"/>
            <w:rFonts w:ascii="Arial" w:hAnsi="Arial" w:cs="Arial"/>
            <w:noProof/>
          </w:rPr>
          <w:t>Examination Objectives and Procedures</w:t>
        </w:r>
        <w:r w:rsidR="00EC5B59" w:rsidRPr="00EC5B59">
          <w:rPr>
            <w:rFonts w:ascii="Arial" w:hAnsi="Arial" w:cs="Arial"/>
            <w:noProof/>
            <w:webHidden/>
          </w:rPr>
          <w:tab/>
        </w:r>
        <w:r w:rsidRPr="00EC5B59">
          <w:rPr>
            <w:rFonts w:ascii="Arial" w:hAnsi="Arial" w:cs="Arial"/>
            <w:noProof/>
            <w:webHidden/>
          </w:rPr>
          <w:fldChar w:fldCharType="begin"/>
        </w:r>
        <w:r w:rsidR="00EC5B59" w:rsidRPr="00EC5B59">
          <w:rPr>
            <w:rFonts w:ascii="Arial" w:hAnsi="Arial" w:cs="Arial"/>
            <w:noProof/>
            <w:webHidden/>
          </w:rPr>
          <w:instrText xml:space="preserve"> PAGEREF _Toc335314193 \h </w:instrText>
        </w:r>
        <w:r w:rsidRPr="00EC5B59">
          <w:rPr>
            <w:rFonts w:ascii="Arial" w:hAnsi="Arial" w:cs="Arial"/>
            <w:noProof/>
            <w:webHidden/>
          </w:rPr>
        </w:r>
        <w:r w:rsidRPr="00EC5B59">
          <w:rPr>
            <w:rFonts w:ascii="Arial" w:hAnsi="Arial" w:cs="Arial"/>
            <w:noProof/>
            <w:webHidden/>
          </w:rPr>
          <w:fldChar w:fldCharType="separate"/>
        </w:r>
        <w:r w:rsidR="00EC5B59" w:rsidRPr="00EC5B59">
          <w:rPr>
            <w:rFonts w:ascii="Arial" w:hAnsi="Arial" w:cs="Arial"/>
            <w:noProof/>
            <w:webHidden/>
          </w:rPr>
          <w:t>8</w:t>
        </w:r>
        <w:r w:rsidRPr="00EC5B59">
          <w:rPr>
            <w:rFonts w:ascii="Arial" w:hAnsi="Arial" w:cs="Arial"/>
            <w:noProof/>
            <w:webHidden/>
          </w:rPr>
          <w:fldChar w:fldCharType="end"/>
        </w:r>
      </w:hyperlink>
    </w:p>
    <w:p w:rsidR="00EC5B59" w:rsidRPr="00EC5B59" w:rsidRDefault="001A276C" w:rsidP="00EC5B59">
      <w:pPr>
        <w:pStyle w:val="TOC1"/>
        <w:tabs>
          <w:tab w:val="right" w:leader="dot" w:pos="9350"/>
        </w:tabs>
        <w:spacing w:after="0" w:line="240" w:lineRule="auto"/>
        <w:rPr>
          <w:rFonts w:ascii="Arial" w:eastAsia="Times New Roman" w:hAnsi="Arial" w:cs="Arial"/>
          <w:noProof/>
        </w:rPr>
      </w:pPr>
      <w:hyperlink w:anchor="_Toc335314194" w:history="1">
        <w:r w:rsidR="00EC5B59" w:rsidRPr="00EC5B59">
          <w:rPr>
            <w:rStyle w:val="Hyperlink"/>
            <w:rFonts w:ascii="Arial" w:hAnsi="Arial" w:cs="Arial"/>
            <w:noProof/>
          </w:rPr>
          <w:t>Reporting Requirements</w:t>
        </w:r>
        <w:r w:rsidR="00EC5B59" w:rsidRPr="00EC5B59">
          <w:rPr>
            <w:rFonts w:ascii="Arial" w:hAnsi="Arial" w:cs="Arial"/>
            <w:noProof/>
            <w:webHidden/>
          </w:rPr>
          <w:tab/>
        </w:r>
        <w:r w:rsidRPr="00EC5B59">
          <w:rPr>
            <w:rFonts w:ascii="Arial" w:hAnsi="Arial" w:cs="Arial"/>
            <w:noProof/>
            <w:webHidden/>
          </w:rPr>
          <w:fldChar w:fldCharType="begin"/>
        </w:r>
        <w:r w:rsidR="00EC5B59" w:rsidRPr="00EC5B59">
          <w:rPr>
            <w:rFonts w:ascii="Arial" w:hAnsi="Arial" w:cs="Arial"/>
            <w:noProof/>
            <w:webHidden/>
          </w:rPr>
          <w:instrText xml:space="preserve"> PAGEREF _Toc335314194 \h </w:instrText>
        </w:r>
        <w:r w:rsidRPr="00EC5B59">
          <w:rPr>
            <w:rFonts w:ascii="Arial" w:hAnsi="Arial" w:cs="Arial"/>
            <w:noProof/>
            <w:webHidden/>
          </w:rPr>
        </w:r>
        <w:r w:rsidRPr="00EC5B59">
          <w:rPr>
            <w:rFonts w:ascii="Arial" w:hAnsi="Arial" w:cs="Arial"/>
            <w:noProof/>
            <w:webHidden/>
          </w:rPr>
          <w:fldChar w:fldCharType="separate"/>
        </w:r>
        <w:r w:rsidR="00EC5B59" w:rsidRPr="00EC5B59">
          <w:rPr>
            <w:rFonts w:ascii="Arial" w:hAnsi="Arial" w:cs="Arial"/>
            <w:noProof/>
            <w:webHidden/>
          </w:rPr>
          <w:t>14</w:t>
        </w:r>
        <w:r w:rsidRPr="00EC5B59">
          <w:rPr>
            <w:rFonts w:ascii="Arial" w:hAnsi="Arial" w:cs="Arial"/>
            <w:noProof/>
            <w:webHidden/>
          </w:rPr>
          <w:fldChar w:fldCharType="end"/>
        </w:r>
      </w:hyperlink>
    </w:p>
    <w:p w:rsidR="00EC5B59" w:rsidRPr="00EC5B59" w:rsidRDefault="001A276C" w:rsidP="00EC5B59">
      <w:pPr>
        <w:pStyle w:val="TOC2"/>
        <w:rPr>
          <w:rFonts w:ascii="Arial" w:eastAsia="Times New Roman" w:hAnsi="Arial" w:cs="Arial"/>
          <w:noProof/>
        </w:rPr>
      </w:pPr>
      <w:hyperlink w:anchor="_Toc335314195" w:history="1">
        <w:r w:rsidR="00EC5B59" w:rsidRPr="00EC5B59">
          <w:rPr>
            <w:rStyle w:val="Hyperlink"/>
            <w:rFonts w:ascii="Arial" w:hAnsi="Arial" w:cs="Arial"/>
            <w:noProof/>
          </w:rPr>
          <w:t>Suspicious Activity Reports</w:t>
        </w:r>
        <w:r w:rsidR="00EC5B59" w:rsidRPr="00EC5B59">
          <w:rPr>
            <w:rFonts w:ascii="Arial" w:hAnsi="Arial" w:cs="Arial"/>
            <w:noProof/>
            <w:webHidden/>
          </w:rPr>
          <w:tab/>
        </w:r>
        <w:r w:rsidRPr="00EC5B59">
          <w:rPr>
            <w:rFonts w:ascii="Arial" w:hAnsi="Arial" w:cs="Arial"/>
            <w:noProof/>
            <w:webHidden/>
          </w:rPr>
          <w:fldChar w:fldCharType="begin"/>
        </w:r>
        <w:r w:rsidR="00EC5B59" w:rsidRPr="00EC5B59">
          <w:rPr>
            <w:rFonts w:ascii="Arial" w:hAnsi="Arial" w:cs="Arial"/>
            <w:noProof/>
            <w:webHidden/>
          </w:rPr>
          <w:instrText xml:space="preserve"> PAGEREF _Toc335314195 \h </w:instrText>
        </w:r>
        <w:r w:rsidRPr="00EC5B59">
          <w:rPr>
            <w:rFonts w:ascii="Arial" w:hAnsi="Arial" w:cs="Arial"/>
            <w:noProof/>
            <w:webHidden/>
          </w:rPr>
        </w:r>
        <w:r w:rsidRPr="00EC5B59">
          <w:rPr>
            <w:rFonts w:ascii="Arial" w:hAnsi="Arial" w:cs="Arial"/>
            <w:noProof/>
            <w:webHidden/>
          </w:rPr>
          <w:fldChar w:fldCharType="separate"/>
        </w:r>
        <w:r w:rsidR="00EC5B59" w:rsidRPr="00EC5B59">
          <w:rPr>
            <w:rFonts w:ascii="Arial" w:hAnsi="Arial" w:cs="Arial"/>
            <w:noProof/>
            <w:webHidden/>
          </w:rPr>
          <w:t>14</w:t>
        </w:r>
        <w:r w:rsidRPr="00EC5B59">
          <w:rPr>
            <w:rFonts w:ascii="Arial" w:hAnsi="Arial" w:cs="Arial"/>
            <w:noProof/>
            <w:webHidden/>
          </w:rPr>
          <w:fldChar w:fldCharType="end"/>
        </w:r>
      </w:hyperlink>
    </w:p>
    <w:p w:rsidR="00EC5B59" w:rsidRPr="00EC5B59" w:rsidRDefault="001A276C" w:rsidP="00EC5B59">
      <w:pPr>
        <w:pStyle w:val="TOC2"/>
        <w:rPr>
          <w:rFonts w:ascii="Arial" w:eastAsia="Times New Roman" w:hAnsi="Arial" w:cs="Arial"/>
          <w:noProof/>
        </w:rPr>
      </w:pPr>
      <w:hyperlink w:anchor="_Toc335314196" w:history="1">
        <w:r w:rsidR="00EC5B59" w:rsidRPr="00EC5B59">
          <w:rPr>
            <w:rStyle w:val="Hyperlink"/>
            <w:rFonts w:ascii="Arial" w:hAnsi="Arial" w:cs="Arial"/>
            <w:noProof/>
          </w:rPr>
          <w:t>Form 8300</w:t>
        </w:r>
        <w:r w:rsidR="00EC5B59" w:rsidRPr="00EC5B59">
          <w:rPr>
            <w:rFonts w:ascii="Arial" w:hAnsi="Arial" w:cs="Arial"/>
            <w:noProof/>
            <w:webHidden/>
          </w:rPr>
          <w:tab/>
        </w:r>
        <w:r w:rsidRPr="00EC5B59">
          <w:rPr>
            <w:rFonts w:ascii="Arial" w:hAnsi="Arial" w:cs="Arial"/>
            <w:noProof/>
            <w:webHidden/>
          </w:rPr>
          <w:fldChar w:fldCharType="begin"/>
        </w:r>
        <w:r w:rsidR="00EC5B59" w:rsidRPr="00EC5B59">
          <w:rPr>
            <w:rFonts w:ascii="Arial" w:hAnsi="Arial" w:cs="Arial"/>
            <w:noProof/>
            <w:webHidden/>
          </w:rPr>
          <w:instrText xml:space="preserve"> PAGEREF _Toc335314196 \h </w:instrText>
        </w:r>
        <w:r w:rsidRPr="00EC5B59">
          <w:rPr>
            <w:rFonts w:ascii="Arial" w:hAnsi="Arial" w:cs="Arial"/>
            <w:noProof/>
            <w:webHidden/>
          </w:rPr>
        </w:r>
        <w:r w:rsidRPr="00EC5B59">
          <w:rPr>
            <w:rFonts w:ascii="Arial" w:hAnsi="Arial" w:cs="Arial"/>
            <w:noProof/>
            <w:webHidden/>
          </w:rPr>
          <w:fldChar w:fldCharType="separate"/>
        </w:r>
        <w:r w:rsidR="00EC5B59" w:rsidRPr="00EC5B59">
          <w:rPr>
            <w:rFonts w:ascii="Arial" w:hAnsi="Arial" w:cs="Arial"/>
            <w:noProof/>
            <w:webHidden/>
          </w:rPr>
          <w:t>15</w:t>
        </w:r>
        <w:r w:rsidRPr="00EC5B59">
          <w:rPr>
            <w:rFonts w:ascii="Arial" w:hAnsi="Arial" w:cs="Arial"/>
            <w:noProof/>
            <w:webHidden/>
          </w:rPr>
          <w:fldChar w:fldCharType="end"/>
        </w:r>
      </w:hyperlink>
    </w:p>
    <w:p w:rsidR="00EC5B59" w:rsidRPr="00EC5B59" w:rsidRDefault="001A276C" w:rsidP="00EC5B59">
      <w:pPr>
        <w:pStyle w:val="TOC2"/>
        <w:rPr>
          <w:rFonts w:ascii="Arial" w:eastAsia="Times New Roman" w:hAnsi="Arial" w:cs="Arial"/>
          <w:noProof/>
        </w:rPr>
      </w:pPr>
      <w:hyperlink w:anchor="_Toc335314197" w:history="1">
        <w:r w:rsidR="00EC5B59" w:rsidRPr="00EC5B59">
          <w:rPr>
            <w:rStyle w:val="Hyperlink"/>
            <w:rFonts w:ascii="Arial" w:hAnsi="Arial" w:cs="Arial"/>
            <w:noProof/>
          </w:rPr>
          <w:t>Form 8300 Red Flags</w:t>
        </w:r>
        <w:r w:rsidR="00EC5B59" w:rsidRPr="00EC5B59">
          <w:rPr>
            <w:rFonts w:ascii="Arial" w:hAnsi="Arial" w:cs="Arial"/>
            <w:noProof/>
            <w:webHidden/>
          </w:rPr>
          <w:tab/>
        </w:r>
        <w:r w:rsidRPr="00EC5B59">
          <w:rPr>
            <w:rFonts w:ascii="Arial" w:hAnsi="Arial" w:cs="Arial"/>
            <w:noProof/>
            <w:webHidden/>
          </w:rPr>
          <w:fldChar w:fldCharType="begin"/>
        </w:r>
        <w:r w:rsidR="00EC5B59" w:rsidRPr="00EC5B59">
          <w:rPr>
            <w:rFonts w:ascii="Arial" w:hAnsi="Arial" w:cs="Arial"/>
            <w:noProof/>
            <w:webHidden/>
          </w:rPr>
          <w:instrText xml:space="preserve"> PAGEREF _Toc335314197 \h </w:instrText>
        </w:r>
        <w:r w:rsidRPr="00EC5B59">
          <w:rPr>
            <w:rFonts w:ascii="Arial" w:hAnsi="Arial" w:cs="Arial"/>
            <w:noProof/>
            <w:webHidden/>
          </w:rPr>
        </w:r>
        <w:r w:rsidRPr="00EC5B59">
          <w:rPr>
            <w:rFonts w:ascii="Arial" w:hAnsi="Arial" w:cs="Arial"/>
            <w:noProof/>
            <w:webHidden/>
          </w:rPr>
          <w:fldChar w:fldCharType="separate"/>
        </w:r>
        <w:r w:rsidR="00EC5B59" w:rsidRPr="00EC5B59">
          <w:rPr>
            <w:rFonts w:ascii="Arial" w:hAnsi="Arial" w:cs="Arial"/>
            <w:noProof/>
            <w:webHidden/>
          </w:rPr>
          <w:t>16</w:t>
        </w:r>
        <w:r w:rsidRPr="00EC5B59">
          <w:rPr>
            <w:rFonts w:ascii="Arial" w:hAnsi="Arial" w:cs="Arial"/>
            <w:noProof/>
            <w:webHidden/>
          </w:rPr>
          <w:fldChar w:fldCharType="end"/>
        </w:r>
      </w:hyperlink>
    </w:p>
    <w:p w:rsidR="00EC5B59" w:rsidRPr="00EC5B59" w:rsidRDefault="001A276C" w:rsidP="00EC5B59">
      <w:pPr>
        <w:pStyle w:val="TOC2"/>
        <w:rPr>
          <w:rFonts w:ascii="Arial" w:eastAsia="Times New Roman" w:hAnsi="Arial" w:cs="Arial"/>
          <w:noProof/>
        </w:rPr>
      </w:pPr>
      <w:hyperlink w:anchor="_Toc335314198" w:history="1">
        <w:r w:rsidR="00EC5B59" w:rsidRPr="00EC5B59">
          <w:rPr>
            <w:rStyle w:val="Hyperlink"/>
            <w:rFonts w:ascii="Arial" w:hAnsi="Arial" w:cs="Arial"/>
            <w:noProof/>
          </w:rPr>
          <w:t>Foreign Bank and Financial Accounts Reports (FBARs) (31 CFR 1029.300)</w:t>
        </w:r>
        <w:r w:rsidR="00EC5B59" w:rsidRPr="00EC5B59">
          <w:rPr>
            <w:rFonts w:ascii="Arial" w:hAnsi="Arial" w:cs="Arial"/>
            <w:noProof/>
            <w:webHidden/>
          </w:rPr>
          <w:tab/>
        </w:r>
        <w:r w:rsidRPr="00EC5B59">
          <w:rPr>
            <w:rFonts w:ascii="Arial" w:hAnsi="Arial" w:cs="Arial"/>
            <w:noProof/>
            <w:webHidden/>
          </w:rPr>
          <w:fldChar w:fldCharType="begin"/>
        </w:r>
        <w:r w:rsidR="00EC5B59" w:rsidRPr="00EC5B59">
          <w:rPr>
            <w:rFonts w:ascii="Arial" w:hAnsi="Arial" w:cs="Arial"/>
            <w:noProof/>
            <w:webHidden/>
          </w:rPr>
          <w:instrText xml:space="preserve"> PAGEREF _Toc335314198 \h </w:instrText>
        </w:r>
        <w:r w:rsidRPr="00EC5B59">
          <w:rPr>
            <w:rFonts w:ascii="Arial" w:hAnsi="Arial" w:cs="Arial"/>
            <w:noProof/>
            <w:webHidden/>
          </w:rPr>
        </w:r>
        <w:r w:rsidRPr="00EC5B59">
          <w:rPr>
            <w:rFonts w:ascii="Arial" w:hAnsi="Arial" w:cs="Arial"/>
            <w:noProof/>
            <w:webHidden/>
          </w:rPr>
          <w:fldChar w:fldCharType="separate"/>
        </w:r>
        <w:r w:rsidR="00EC5B59" w:rsidRPr="00EC5B59">
          <w:rPr>
            <w:rFonts w:ascii="Arial" w:hAnsi="Arial" w:cs="Arial"/>
            <w:noProof/>
            <w:webHidden/>
          </w:rPr>
          <w:t>17</w:t>
        </w:r>
        <w:r w:rsidRPr="00EC5B59">
          <w:rPr>
            <w:rFonts w:ascii="Arial" w:hAnsi="Arial" w:cs="Arial"/>
            <w:noProof/>
            <w:webHidden/>
          </w:rPr>
          <w:fldChar w:fldCharType="end"/>
        </w:r>
      </w:hyperlink>
    </w:p>
    <w:p w:rsidR="00EC5B59" w:rsidRPr="00EC5B59" w:rsidRDefault="001A276C" w:rsidP="00EC5B59">
      <w:pPr>
        <w:pStyle w:val="TOC2"/>
        <w:rPr>
          <w:rFonts w:ascii="Arial" w:eastAsia="Times New Roman" w:hAnsi="Arial" w:cs="Arial"/>
          <w:noProof/>
        </w:rPr>
      </w:pPr>
      <w:hyperlink w:anchor="_Toc335314199" w:history="1">
        <w:r w:rsidR="00EC5B59" w:rsidRPr="00EC5B59">
          <w:rPr>
            <w:rStyle w:val="Hyperlink"/>
            <w:rFonts w:ascii="Arial" w:hAnsi="Arial" w:cs="Arial"/>
            <w:noProof/>
          </w:rPr>
          <w:t>Report of International Transportation of Currency or Monetary Instruments (CMIRs) (31 CFR 1029.300)</w:t>
        </w:r>
        <w:r w:rsidR="00EC5B59" w:rsidRPr="00EC5B59">
          <w:rPr>
            <w:rFonts w:ascii="Arial" w:hAnsi="Arial" w:cs="Arial"/>
            <w:noProof/>
            <w:webHidden/>
          </w:rPr>
          <w:tab/>
        </w:r>
        <w:r w:rsidRPr="00EC5B59">
          <w:rPr>
            <w:rFonts w:ascii="Arial" w:hAnsi="Arial" w:cs="Arial"/>
            <w:noProof/>
            <w:webHidden/>
          </w:rPr>
          <w:fldChar w:fldCharType="begin"/>
        </w:r>
        <w:r w:rsidR="00EC5B59" w:rsidRPr="00EC5B59">
          <w:rPr>
            <w:rFonts w:ascii="Arial" w:hAnsi="Arial" w:cs="Arial"/>
            <w:noProof/>
            <w:webHidden/>
          </w:rPr>
          <w:instrText xml:space="preserve"> PAGEREF _Toc335314199 \h </w:instrText>
        </w:r>
        <w:r w:rsidRPr="00EC5B59">
          <w:rPr>
            <w:rFonts w:ascii="Arial" w:hAnsi="Arial" w:cs="Arial"/>
            <w:noProof/>
            <w:webHidden/>
          </w:rPr>
        </w:r>
        <w:r w:rsidRPr="00EC5B59">
          <w:rPr>
            <w:rFonts w:ascii="Arial" w:hAnsi="Arial" w:cs="Arial"/>
            <w:noProof/>
            <w:webHidden/>
          </w:rPr>
          <w:fldChar w:fldCharType="separate"/>
        </w:r>
        <w:r w:rsidR="00EC5B59" w:rsidRPr="00EC5B59">
          <w:rPr>
            <w:rFonts w:ascii="Arial" w:hAnsi="Arial" w:cs="Arial"/>
            <w:noProof/>
            <w:webHidden/>
          </w:rPr>
          <w:t>17</w:t>
        </w:r>
        <w:r w:rsidRPr="00EC5B59">
          <w:rPr>
            <w:rFonts w:ascii="Arial" w:hAnsi="Arial" w:cs="Arial"/>
            <w:noProof/>
            <w:webHidden/>
          </w:rPr>
          <w:fldChar w:fldCharType="end"/>
        </w:r>
      </w:hyperlink>
    </w:p>
    <w:p w:rsidR="00EC5B59" w:rsidRPr="00EC5B59" w:rsidRDefault="001A276C" w:rsidP="00EC5B59">
      <w:pPr>
        <w:pStyle w:val="TOC2"/>
        <w:rPr>
          <w:rFonts w:ascii="Arial" w:eastAsia="Times New Roman" w:hAnsi="Arial" w:cs="Arial"/>
          <w:noProof/>
        </w:rPr>
      </w:pPr>
      <w:hyperlink w:anchor="_Toc335314200" w:history="1">
        <w:r w:rsidR="00EC5B59" w:rsidRPr="00EC5B59">
          <w:rPr>
            <w:rStyle w:val="Hyperlink"/>
            <w:rFonts w:ascii="Arial" w:hAnsi="Arial" w:cs="Arial"/>
            <w:noProof/>
          </w:rPr>
          <w:t>Information Sharing Reports 314(a) and  314(b)</w:t>
        </w:r>
        <w:r w:rsidR="00EC5B59" w:rsidRPr="00EC5B59">
          <w:rPr>
            <w:rFonts w:ascii="Arial" w:hAnsi="Arial" w:cs="Arial"/>
            <w:noProof/>
            <w:webHidden/>
          </w:rPr>
          <w:tab/>
        </w:r>
        <w:r w:rsidRPr="00EC5B59">
          <w:rPr>
            <w:rFonts w:ascii="Arial" w:hAnsi="Arial" w:cs="Arial"/>
            <w:noProof/>
            <w:webHidden/>
          </w:rPr>
          <w:fldChar w:fldCharType="begin"/>
        </w:r>
        <w:r w:rsidR="00EC5B59" w:rsidRPr="00EC5B59">
          <w:rPr>
            <w:rFonts w:ascii="Arial" w:hAnsi="Arial" w:cs="Arial"/>
            <w:noProof/>
            <w:webHidden/>
          </w:rPr>
          <w:instrText xml:space="preserve"> PAGEREF _Toc335314200 \h </w:instrText>
        </w:r>
        <w:r w:rsidRPr="00EC5B59">
          <w:rPr>
            <w:rFonts w:ascii="Arial" w:hAnsi="Arial" w:cs="Arial"/>
            <w:noProof/>
            <w:webHidden/>
          </w:rPr>
        </w:r>
        <w:r w:rsidRPr="00EC5B59">
          <w:rPr>
            <w:rFonts w:ascii="Arial" w:hAnsi="Arial" w:cs="Arial"/>
            <w:noProof/>
            <w:webHidden/>
          </w:rPr>
          <w:fldChar w:fldCharType="separate"/>
        </w:r>
        <w:r w:rsidR="00EC5B59" w:rsidRPr="00EC5B59">
          <w:rPr>
            <w:rFonts w:ascii="Arial" w:hAnsi="Arial" w:cs="Arial"/>
            <w:noProof/>
            <w:webHidden/>
          </w:rPr>
          <w:t>18</w:t>
        </w:r>
        <w:r w:rsidRPr="00EC5B59">
          <w:rPr>
            <w:rFonts w:ascii="Arial" w:hAnsi="Arial" w:cs="Arial"/>
            <w:noProof/>
            <w:webHidden/>
          </w:rPr>
          <w:fldChar w:fldCharType="end"/>
        </w:r>
      </w:hyperlink>
    </w:p>
    <w:p w:rsidR="00EC5B59" w:rsidRPr="00EC5B59" w:rsidRDefault="001A276C" w:rsidP="00EC5B59">
      <w:pPr>
        <w:pStyle w:val="TOC2"/>
        <w:rPr>
          <w:rFonts w:ascii="Arial" w:eastAsia="Times New Roman" w:hAnsi="Arial" w:cs="Arial"/>
          <w:noProof/>
        </w:rPr>
      </w:pPr>
      <w:hyperlink w:anchor="_Toc335314201" w:history="1">
        <w:r w:rsidR="00EC5B59" w:rsidRPr="00EC5B59">
          <w:rPr>
            <w:rStyle w:val="Hyperlink"/>
            <w:rFonts w:ascii="Arial" w:hAnsi="Arial" w:cs="Arial"/>
            <w:noProof/>
          </w:rPr>
          <w:t>Information Sharing Between Government Agencies and Financial Institutions 314(a) (31 CFR 1029.520)</w:t>
        </w:r>
        <w:r w:rsidR="00EC5B59" w:rsidRPr="00EC5B59">
          <w:rPr>
            <w:rFonts w:ascii="Arial" w:hAnsi="Arial" w:cs="Arial"/>
            <w:noProof/>
            <w:webHidden/>
          </w:rPr>
          <w:tab/>
        </w:r>
        <w:r w:rsidRPr="00EC5B59">
          <w:rPr>
            <w:rFonts w:ascii="Arial" w:hAnsi="Arial" w:cs="Arial"/>
            <w:noProof/>
            <w:webHidden/>
          </w:rPr>
          <w:fldChar w:fldCharType="begin"/>
        </w:r>
        <w:r w:rsidR="00EC5B59" w:rsidRPr="00EC5B59">
          <w:rPr>
            <w:rFonts w:ascii="Arial" w:hAnsi="Arial" w:cs="Arial"/>
            <w:noProof/>
            <w:webHidden/>
          </w:rPr>
          <w:instrText xml:space="preserve"> PAGEREF _Toc335314201 \h </w:instrText>
        </w:r>
        <w:r w:rsidRPr="00EC5B59">
          <w:rPr>
            <w:rFonts w:ascii="Arial" w:hAnsi="Arial" w:cs="Arial"/>
            <w:noProof/>
            <w:webHidden/>
          </w:rPr>
        </w:r>
        <w:r w:rsidRPr="00EC5B59">
          <w:rPr>
            <w:rFonts w:ascii="Arial" w:hAnsi="Arial" w:cs="Arial"/>
            <w:noProof/>
            <w:webHidden/>
          </w:rPr>
          <w:fldChar w:fldCharType="separate"/>
        </w:r>
        <w:r w:rsidR="00EC5B59" w:rsidRPr="00EC5B59">
          <w:rPr>
            <w:rFonts w:ascii="Arial" w:hAnsi="Arial" w:cs="Arial"/>
            <w:noProof/>
            <w:webHidden/>
          </w:rPr>
          <w:t>18</w:t>
        </w:r>
        <w:r w:rsidRPr="00EC5B59">
          <w:rPr>
            <w:rFonts w:ascii="Arial" w:hAnsi="Arial" w:cs="Arial"/>
            <w:noProof/>
            <w:webHidden/>
          </w:rPr>
          <w:fldChar w:fldCharType="end"/>
        </w:r>
      </w:hyperlink>
    </w:p>
    <w:p w:rsidR="00EC5B59" w:rsidRPr="00EC5B59" w:rsidRDefault="001A276C" w:rsidP="00EC5B59">
      <w:pPr>
        <w:pStyle w:val="TOC2"/>
        <w:rPr>
          <w:rFonts w:ascii="Arial" w:eastAsia="Times New Roman" w:hAnsi="Arial" w:cs="Arial"/>
          <w:noProof/>
        </w:rPr>
      </w:pPr>
      <w:hyperlink w:anchor="_Toc335314202" w:history="1">
        <w:r w:rsidR="00EC5B59" w:rsidRPr="00EC5B59">
          <w:rPr>
            <w:rStyle w:val="Hyperlink"/>
            <w:rFonts w:ascii="Arial" w:hAnsi="Arial" w:cs="Arial"/>
            <w:noProof/>
          </w:rPr>
          <w:t>Voluntary Information Sharing Among Financial Institutions 314(b) (31 CFR 1029.540)</w:t>
        </w:r>
        <w:r w:rsidR="00EC5B59" w:rsidRPr="00EC5B59">
          <w:rPr>
            <w:rFonts w:ascii="Arial" w:hAnsi="Arial" w:cs="Arial"/>
            <w:noProof/>
            <w:webHidden/>
          </w:rPr>
          <w:tab/>
        </w:r>
        <w:r w:rsidRPr="00EC5B59">
          <w:rPr>
            <w:rFonts w:ascii="Arial" w:hAnsi="Arial" w:cs="Arial"/>
            <w:noProof/>
            <w:webHidden/>
          </w:rPr>
          <w:fldChar w:fldCharType="begin"/>
        </w:r>
        <w:r w:rsidR="00EC5B59" w:rsidRPr="00EC5B59">
          <w:rPr>
            <w:rFonts w:ascii="Arial" w:hAnsi="Arial" w:cs="Arial"/>
            <w:noProof/>
            <w:webHidden/>
          </w:rPr>
          <w:instrText xml:space="preserve"> PAGEREF _Toc335314202 \h </w:instrText>
        </w:r>
        <w:r w:rsidRPr="00EC5B59">
          <w:rPr>
            <w:rFonts w:ascii="Arial" w:hAnsi="Arial" w:cs="Arial"/>
            <w:noProof/>
            <w:webHidden/>
          </w:rPr>
        </w:r>
        <w:r w:rsidRPr="00EC5B59">
          <w:rPr>
            <w:rFonts w:ascii="Arial" w:hAnsi="Arial" w:cs="Arial"/>
            <w:noProof/>
            <w:webHidden/>
          </w:rPr>
          <w:fldChar w:fldCharType="separate"/>
        </w:r>
        <w:r w:rsidR="00EC5B59" w:rsidRPr="00EC5B59">
          <w:rPr>
            <w:rFonts w:ascii="Arial" w:hAnsi="Arial" w:cs="Arial"/>
            <w:noProof/>
            <w:webHidden/>
          </w:rPr>
          <w:t>19</w:t>
        </w:r>
        <w:r w:rsidRPr="00EC5B59">
          <w:rPr>
            <w:rFonts w:ascii="Arial" w:hAnsi="Arial" w:cs="Arial"/>
            <w:noProof/>
            <w:webHidden/>
          </w:rPr>
          <w:fldChar w:fldCharType="end"/>
        </w:r>
      </w:hyperlink>
    </w:p>
    <w:p w:rsidR="00EC5B59" w:rsidRPr="00EC5B59" w:rsidRDefault="001A276C" w:rsidP="00EC5B59">
      <w:pPr>
        <w:pStyle w:val="TOC2"/>
        <w:rPr>
          <w:rFonts w:ascii="Arial" w:eastAsia="Times New Roman" w:hAnsi="Arial" w:cs="Arial"/>
          <w:noProof/>
        </w:rPr>
      </w:pPr>
      <w:hyperlink w:anchor="_Toc335314203" w:history="1">
        <w:r w:rsidR="00EC5B59" w:rsidRPr="00EC5B59">
          <w:rPr>
            <w:rStyle w:val="Hyperlink"/>
            <w:rFonts w:ascii="Arial" w:hAnsi="Arial" w:cs="Arial"/>
            <w:noProof/>
          </w:rPr>
          <w:t>Examination Objectives and Procedures</w:t>
        </w:r>
        <w:r w:rsidR="00EC5B59" w:rsidRPr="00EC5B59">
          <w:rPr>
            <w:rFonts w:ascii="Arial" w:hAnsi="Arial" w:cs="Arial"/>
            <w:noProof/>
            <w:webHidden/>
          </w:rPr>
          <w:tab/>
        </w:r>
        <w:r w:rsidRPr="00EC5B59">
          <w:rPr>
            <w:rFonts w:ascii="Arial" w:hAnsi="Arial" w:cs="Arial"/>
            <w:noProof/>
            <w:webHidden/>
          </w:rPr>
          <w:fldChar w:fldCharType="begin"/>
        </w:r>
        <w:r w:rsidR="00EC5B59" w:rsidRPr="00EC5B59">
          <w:rPr>
            <w:rFonts w:ascii="Arial" w:hAnsi="Arial" w:cs="Arial"/>
            <w:noProof/>
            <w:webHidden/>
          </w:rPr>
          <w:instrText xml:space="preserve"> PAGEREF _Toc335314203 \h </w:instrText>
        </w:r>
        <w:r w:rsidRPr="00EC5B59">
          <w:rPr>
            <w:rFonts w:ascii="Arial" w:hAnsi="Arial" w:cs="Arial"/>
            <w:noProof/>
            <w:webHidden/>
          </w:rPr>
        </w:r>
        <w:r w:rsidRPr="00EC5B59">
          <w:rPr>
            <w:rFonts w:ascii="Arial" w:hAnsi="Arial" w:cs="Arial"/>
            <w:noProof/>
            <w:webHidden/>
          </w:rPr>
          <w:fldChar w:fldCharType="separate"/>
        </w:r>
        <w:r w:rsidR="00EC5B59" w:rsidRPr="00EC5B59">
          <w:rPr>
            <w:rFonts w:ascii="Arial" w:hAnsi="Arial" w:cs="Arial"/>
            <w:noProof/>
            <w:webHidden/>
          </w:rPr>
          <w:t>20</w:t>
        </w:r>
        <w:r w:rsidRPr="00EC5B59">
          <w:rPr>
            <w:rFonts w:ascii="Arial" w:hAnsi="Arial" w:cs="Arial"/>
            <w:noProof/>
            <w:webHidden/>
          </w:rPr>
          <w:fldChar w:fldCharType="end"/>
        </w:r>
      </w:hyperlink>
    </w:p>
    <w:p w:rsidR="00EC5B59" w:rsidRPr="00EC5B59" w:rsidRDefault="001A276C" w:rsidP="00EC5B59">
      <w:pPr>
        <w:pStyle w:val="TOC1"/>
        <w:tabs>
          <w:tab w:val="right" w:leader="dot" w:pos="9350"/>
        </w:tabs>
        <w:spacing w:after="0" w:line="240" w:lineRule="auto"/>
        <w:rPr>
          <w:rFonts w:ascii="Arial" w:eastAsia="Times New Roman" w:hAnsi="Arial" w:cs="Arial"/>
          <w:noProof/>
        </w:rPr>
      </w:pPr>
      <w:hyperlink w:anchor="_Toc335314204" w:history="1">
        <w:r w:rsidR="00EC5B59" w:rsidRPr="00EC5B59">
          <w:rPr>
            <w:rStyle w:val="Hyperlink"/>
            <w:rFonts w:ascii="Arial" w:hAnsi="Arial" w:cs="Arial"/>
            <w:noProof/>
          </w:rPr>
          <w:t>Office of Foreign Assets Control (OFAC)</w:t>
        </w:r>
        <w:r w:rsidR="00EC5B59" w:rsidRPr="00EC5B59">
          <w:rPr>
            <w:rFonts w:ascii="Arial" w:hAnsi="Arial" w:cs="Arial"/>
            <w:noProof/>
            <w:webHidden/>
          </w:rPr>
          <w:tab/>
        </w:r>
        <w:r w:rsidRPr="00EC5B59">
          <w:rPr>
            <w:rFonts w:ascii="Arial" w:hAnsi="Arial" w:cs="Arial"/>
            <w:noProof/>
            <w:webHidden/>
          </w:rPr>
          <w:fldChar w:fldCharType="begin"/>
        </w:r>
        <w:r w:rsidR="00EC5B59" w:rsidRPr="00EC5B59">
          <w:rPr>
            <w:rFonts w:ascii="Arial" w:hAnsi="Arial" w:cs="Arial"/>
            <w:noProof/>
            <w:webHidden/>
          </w:rPr>
          <w:instrText xml:space="preserve"> PAGEREF _Toc335314204 \h </w:instrText>
        </w:r>
        <w:r w:rsidRPr="00EC5B59">
          <w:rPr>
            <w:rFonts w:ascii="Arial" w:hAnsi="Arial" w:cs="Arial"/>
            <w:noProof/>
            <w:webHidden/>
          </w:rPr>
        </w:r>
        <w:r w:rsidRPr="00EC5B59">
          <w:rPr>
            <w:rFonts w:ascii="Arial" w:hAnsi="Arial" w:cs="Arial"/>
            <w:noProof/>
            <w:webHidden/>
          </w:rPr>
          <w:fldChar w:fldCharType="separate"/>
        </w:r>
        <w:r w:rsidR="00EC5B59" w:rsidRPr="00EC5B59">
          <w:rPr>
            <w:rFonts w:ascii="Arial" w:hAnsi="Arial" w:cs="Arial"/>
            <w:noProof/>
            <w:webHidden/>
          </w:rPr>
          <w:t>30</w:t>
        </w:r>
        <w:r w:rsidRPr="00EC5B59">
          <w:rPr>
            <w:rFonts w:ascii="Arial" w:hAnsi="Arial" w:cs="Arial"/>
            <w:noProof/>
            <w:webHidden/>
          </w:rPr>
          <w:fldChar w:fldCharType="end"/>
        </w:r>
      </w:hyperlink>
    </w:p>
    <w:p w:rsidR="00EC5B59" w:rsidRPr="00EC5B59" w:rsidRDefault="001A276C" w:rsidP="00EC5B59">
      <w:pPr>
        <w:pStyle w:val="TOC2"/>
        <w:rPr>
          <w:rFonts w:ascii="Arial" w:eastAsia="Times New Roman" w:hAnsi="Arial" w:cs="Arial"/>
          <w:noProof/>
        </w:rPr>
      </w:pPr>
      <w:hyperlink w:anchor="_Toc335314205" w:history="1">
        <w:r w:rsidR="00EC5B59" w:rsidRPr="00EC5B59">
          <w:rPr>
            <w:rStyle w:val="Hyperlink"/>
            <w:rFonts w:ascii="Arial" w:hAnsi="Arial" w:cs="Arial"/>
            <w:noProof/>
          </w:rPr>
          <w:t>Overview &amp; Exam Procedures</w:t>
        </w:r>
        <w:r w:rsidR="00EC5B59" w:rsidRPr="00EC5B59">
          <w:rPr>
            <w:rFonts w:ascii="Arial" w:hAnsi="Arial" w:cs="Arial"/>
            <w:noProof/>
            <w:webHidden/>
          </w:rPr>
          <w:tab/>
        </w:r>
        <w:r w:rsidRPr="00EC5B59">
          <w:rPr>
            <w:rFonts w:ascii="Arial" w:hAnsi="Arial" w:cs="Arial"/>
            <w:noProof/>
            <w:webHidden/>
          </w:rPr>
          <w:fldChar w:fldCharType="begin"/>
        </w:r>
        <w:r w:rsidR="00EC5B59" w:rsidRPr="00EC5B59">
          <w:rPr>
            <w:rFonts w:ascii="Arial" w:hAnsi="Arial" w:cs="Arial"/>
            <w:noProof/>
            <w:webHidden/>
          </w:rPr>
          <w:instrText xml:space="preserve"> PAGEREF _Toc335314205 \h </w:instrText>
        </w:r>
        <w:r w:rsidRPr="00EC5B59">
          <w:rPr>
            <w:rFonts w:ascii="Arial" w:hAnsi="Arial" w:cs="Arial"/>
            <w:noProof/>
            <w:webHidden/>
          </w:rPr>
        </w:r>
        <w:r w:rsidRPr="00EC5B59">
          <w:rPr>
            <w:rFonts w:ascii="Arial" w:hAnsi="Arial" w:cs="Arial"/>
            <w:noProof/>
            <w:webHidden/>
          </w:rPr>
          <w:fldChar w:fldCharType="separate"/>
        </w:r>
        <w:r w:rsidR="00EC5B59" w:rsidRPr="00EC5B59">
          <w:rPr>
            <w:rFonts w:ascii="Arial" w:hAnsi="Arial" w:cs="Arial"/>
            <w:noProof/>
            <w:webHidden/>
          </w:rPr>
          <w:t>30</w:t>
        </w:r>
        <w:r w:rsidRPr="00EC5B59">
          <w:rPr>
            <w:rFonts w:ascii="Arial" w:hAnsi="Arial" w:cs="Arial"/>
            <w:noProof/>
            <w:webHidden/>
          </w:rPr>
          <w:fldChar w:fldCharType="end"/>
        </w:r>
      </w:hyperlink>
    </w:p>
    <w:p w:rsidR="00EC5B59" w:rsidRPr="00EC5B59" w:rsidRDefault="001A276C" w:rsidP="00EC5B59">
      <w:pPr>
        <w:pStyle w:val="TOC1"/>
        <w:tabs>
          <w:tab w:val="right" w:leader="dot" w:pos="9350"/>
        </w:tabs>
        <w:spacing w:after="0" w:line="240" w:lineRule="auto"/>
        <w:rPr>
          <w:rFonts w:ascii="Arial" w:eastAsia="Times New Roman" w:hAnsi="Arial" w:cs="Arial"/>
          <w:noProof/>
        </w:rPr>
      </w:pPr>
      <w:hyperlink w:anchor="_Toc335314206" w:history="1">
        <w:r w:rsidR="00EC5B59" w:rsidRPr="00EC5B59">
          <w:rPr>
            <w:rStyle w:val="Hyperlink"/>
            <w:rFonts w:ascii="Arial" w:hAnsi="Arial" w:cs="Arial"/>
            <w:noProof/>
          </w:rPr>
          <w:t>Definitions &amp; Acronyms</w:t>
        </w:r>
        <w:r w:rsidR="00EC5B59" w:rsidRPr="00EC5B59">
          <w:rPr>
            <w:rFonts w:ascii="Arial" w:hAnsi="Arial" w:cs="Arial"/>
            <w:noProof/>
            <w:webHidden/>
          </w:rPr>
          <w:tab/>
        </w:r>
        <w:r w:rsidRPr="00EC5B59">
          <w:rPr>
            <w:rFonts w:ascii="Arial" w:hAnsi="Arial" w:cs="Arial"/>
            <w:noProof/>
            <w:webHidden/>
          </w:rPr>
          <w:fldChar w:fldCharType="begin"/>
        </w:r>
        <w:r w:rsidR="00EC5B59" w:rsidRPr="00EC5B59">
          <w:rPr>
            <w:rFonts w:ascii="Arial" w:hAnsi="Arial" w:cs="Arial"/>
            <w:noProof/>
            <w:webHidden/>
          </w:rPr>
          <w:instrText xml:space="preserve"> PAGEREF _Toc335314206 \h </w:instrText>
        </w:r>
        <w:r w:rsidRPr="00EC5B59">
          <w:rPr>
            <w:rFonts w:ascii="Arial" w:hAnsi="Arial" w:cs="Arial"/>
            <w:noProof/>
            <w:webHidden/>
          </w:rPr>
        </w:r>
        <w:r w:rsidRPr="00EC5B59">
          <w:rPr>
            <w:rFonts w:ascii="Arial" w:hAnsi="Arial" w:cs="Arial"/>
            <w:noProof/>
            <w:webHidden/>
          </w:rPr>
          <w:fldChar w:fldCharType="separate"/>
        </w:r>
        <w:r w:rsidR="00EC5B59" w:rsidRPr="00EC5B59">
          <w:rPr>
            <w:rFonts w:ascii="Arial" w:hAnsi="Arial" w:cs="Arial"/>
            <w:noProof/>
            <w:webHidden/>
          </w:rPr>
          <w:t>31</w:t>
        </w:r>
        <w:r w:rsidRPr="00EC5B59">
          <w:rPr>
            <w:rFonts w:ascii="Arial" w:hAnsi="Arial" w:cs="Arial"/>
            <w:noProof/>
            <w:webHidden/>
          </w:rPr>
          <w:fldChar w:fldCharType="end"/>
        </w:r>
      </w:hyperlink>
    </w:p>
    <w:p w:rsidR="00EC5B59" w:rsidRPr="00EC5B59" w:rsidRDefault="001A276C" w:rsidP="00EC5B59">
      <w:pPr>
        <w:pStyle w:val="TOC2"/>
        <w:rPr>
          <w:rFonts w:ascii="Arial" w:eastAsia="Times New Roman" w:hAnsi="Arial" w:cs="Arial"/>
          <w:noProof/>
        </w:rPr>
      </w:pPr>
      <w:hyperlink w:anchor="_Toc335314207" w:history="1">
        <w:r w:rsidR="00EC5B59" w:rsidRPr="00EC5B59">
          <w:rPr>
            <w:rStyle w:val="Hyperlink"/>
            <w:rFonts w:ascii="Arial" w:hAnsi="Arial" w:cs="Arial"/>
            <w:noProof/>
          </w:rPr>
          <w:t>Definitions</w:t>
        </w:r>
        <w:r w:rsidR="00EC5B59" w:rsidRPr="00EC5B59">
          <w:rPr>
            <w:rFonts w:ascii="Arial" w:hAnsi="Arial" w:cs="Arial"/>
            <w:noProof/>
            <w:webHidden/>
          </w:rPr>
          <w:tab/>
        </w:r>
        <w:r w:rsidRPr="00EC5B59">
          <w:rPr>
            <w:rFonts w:ascii="Arial" w:hAnsi="Arial" w:cs="Arial"/>
            <w:noProof/>
            <w:webHidden/>
          </w:rPr>
          <w:fldChar w:fldCharType="begin"/>
        </w:r>
        <w:r w:rsidR="00EC5B59" w:rsidRPr="00EC5B59">
          <w:rPr>
            <w:rFonts w:ascii="Arial" w:hAnsi="Arial" w:cs="Arial"/>
            <w:noProof/>
            <w:webHidden/>
          </w:rPr>
          <w:instrText xml:space="preserve"> PAGEREF _Toc335314207 \h </w:instrText>
        </w:r>
        <w:r w:rsidRPr="00EC5B59">
          <w:rPr>
            <w:rFonts w:ascii="Arial" w:hAnsi="Arial" w:cs="Arial"/>
            <w:noProof/>
            <w:webHidden/>
          </w:rPr>
        </w:r>
        <w:r w:rsidRPr="00EC5B59">
          <w:rPr>
            <w:rFonts w:ascii="Arial" w:hAnsi="Arial" w:cs="Arial"/>
            <w:noProof/>
            <w:webHidden/>
          </w:rPr>
          <w:fldChar w:fldCharType="separate"/>
        </w:r>
        <w:r w:rsidR="00EC5B59" w:rsidRPr="00EC5B59">
          <w:rPr>
            <w:rFonts w:ascii="Arial" w:hAnsi="Arial" w:cs="Arial"/>
            <w:noProof/>
            <w:webHidden/>
          </w:rPr>
          <w:t>31</w:t>
        </w:r>
        <w:r w:rsidRPr="00EC5B59">
          <w:rPr>
            <w:rFonts w:ascii="Arial" w:hAnsi="Arial" w:cs="Arial"/>
            <w:noProof/>
            <w:webHidden/>
          </w:rPr>
          <w:fldChar w:fldCharType="end"/>
        </w:r>
      </w:hyperlink>
    </w:p>
    <w:p w:rsidR="00EC5B59" w:rsidRPr="00EC5B59" w:rsidRDefault="001A276C" w:rsidP="00EC5B59">
      <w:pPr>
        <w:pStyle w:val="TOC2"/>
        <w:rPr>
          <w:rFonts w:ascii="Arial" w:eastAsia="Times New Roman" w:hAnsi="Arial" w:cs="Arial"/>
          <w:noProof/>
        </w:rPr>
      </w:pPr>
      <w:hyperlink w:anchor="_Toc335314208" w:history="1">
        <w:r w:rsidR="00EC5B59" w:rsidRPr="00EC5B59">
          <w:rPr>
            <w:rStyle w:val="Hyperlink"/>
            <w:rFonts w:ascii="Arial" w:hAnsi="Arial" w:cs="Arial"/>
            <w:noProof/>
          </w:rPr>
          <w:t>Acronyms</w:t>
        </w:r>
        <w:r w:rsidR="00EC5B59" w:rsidRPr="00EC5B59">
          <w:rPr>
            <w:rFonts w:ascii="Arial" w:hAnsi="Arial" w:cs="Arial"/>
            <w:noProof/>
            <w:webHidden/>
          </w:rPr>
          <w:tab/>
        </w:r>
        <w:r w:rsidRPr="00EC5B59">
          <w:rPr>
            <w:rFonts w:ascii="Arial" w:hAnsi="Arial" w:cs="Arial"/>
            <w:noProof/>
            <w:webHidden/>
          </w:rPr>
          <w:fldChar w:fldCharType="begin"/>
        </w:r>
        <w:r w:rsidR="00EC5B59" w:rsidRPr="00EC5B59">
          <w:rPr>
            <w:rFonts w:ascii="Arial" w:hAnsi="Arial" w:cs="Arial"/>
            <w:noProof/>
            <w:webHidden/>
          </w:rPr>
          <w:instrText xml:space="preserve"> PAGEREF _Toc335314208 \h </w:instrText>
        </w:r>
        <w:r w:rsidRPr="00EC5B59">
          <w:rPr>
            <w:rFonts w:ascii="Arial" w:hAnsi="Arial" w:cs="Arial"/>
            <w:noProof/>
            <w:webHidden/>
          </w:rPr>
        </w:r>
        <w:r w:rsidRPr="00EC5B59">
          <w:rPr>
            <w:rFonts w:ascii="Arial" w:hAnsi="Arial" w:cs="Arial"/>
            <w:noProof/>
            <w:webHidden/>
          </w:rPr>
          <w:fldChar w:fldCharType="separate"/>
        </w:r>
        <w:r w:rsidR="00EC5B59" w:rsidRPr="00EC5B59">
          <w:rPr>
            <w:rFonts w:ascii="Arial" w:hAnsi="Arial" w:cs="Arial"/>
            <w:noProof/>
            <w:webHidden/>
          </w:rPr>
          <w:t>33</w:t>
        </w:r>
        <w:r w:rsidRPr="00EC5B59">
          <w:rPr>
            <w:rFonts w:ascii="Arial" w:hAnsi="Arial" w:cs="Arial"/>
            <w:noProof/>
            <w:webHidden/>
          </w:rPr>
          <w:fldChar w:fldCharType="end"/>
        </w:r>
      </w:hyperlink>
    </w:p>
    <w:p w:rsidR="0066487F" w:rsidRPr="005B5345" w:rsidRDefault="001A276C" w:rsidP="00EC5B59">
      <w:pPr>
        <w:pStyle w:val="TOC2"/>
        <w:rPr>
          <w:rFonts w:ascii="Arial" w:eastAsia="Times New Roman" w:hAnsi="Arial" w:cs="Arial"/>
          <w:noProof/>
        </w:rPr>
      </w:pPr>
      <w:r w:rsidRPr="00EC5B59">
        <w:rPr>
          <w:rFonts w:ascii="Arial" w:hAnsi="Arial" w:cs="Arial"/>
          <w:b/>
          <w:bCs/>
          <w:noProof/>
          <w:sz w:val="24"/>
          <w:szCs w:val="24"/>
        </w:rPr>
        <w:fldChar w:fldCharType="end"/>
      </w:r>
    </w:p>
    <w:p w:rsidR="0066487F" w:rsidRPr="0008572D" w:rsidRDefault="00E44139">
      <w:pPr>
        <w:rPr>
          <w:rFonts w:ascii="Arial" w:hAnsi="Arial" w:cs="Arial"/>
          <w:sz w:val="24"/>
          <w:szCs w:val="24"/>
        </w:rPr>
      </w:pPr>
      <w:r>
        <w:rPr>
          <w:rFonts w:ascii="Arial" w:hAnsi="Arial" w:cs="Arial"/>
          <w:sz w:val="24"/>
          <w:szCs w:val="24"/>
        </w:rPr>
        <w:lastRenderedPageBreak/>
        <w:t>FinCEN’s</w:t>
      </w:r>
      <w:r w:rsidRPr="0008572D">
        <w:rPr>
          <w:rFonts w:ascii="Arial" w:hAnsi="Arial" w:cs="Arial"/>
          <w:sz w:val="24"/>
          <w:szCs w:val="24"/>
        </w:rPr>
        <w:t xml:space="preserve"> </w:t>
      </w:r>
      <w:r w:rsidR="0066487F" w:rsidRPr="0008572D">
        <w:rPr>
          <w:rFonts w:ascii="Arial" w:hAnsi="Arial" w:cs="Arial"/>
          <w:sz w:val="24"/>
          <w:szCs w:val="24"/>
        </w:rPr>
        <w:t xml:space="preserve">rule </w:t>
      </w:r>
      <w:r w:rsidR="005B5345">
        <w:rPr>
          <w:rFonts w:ascii="Arial" w:hAnsi="Arial" w:cs="Arial"/>
          <w:sz w:val="24"/>
          <w:szCs w:val="24"/>
        </w:rPr>
        <w:t>applying the Bank Secrecy Act and Anti-Money Laundering requirements to the mortgage industry</w:t>
      </w:r>
      <w:r>
        <w:rPr>
          <w:rFonts w:ascii="Arial" w:hAnsi="Arial" w:cs="Arial"/>
          <w:sz w:val="24"/>
          <w:szCs w:val="24"/>
        </w:rPr>
        <w:t xml:space="preserve"> </w:t>
      </w:r>
      <w:r w:rsidR="0066487F" w:rsidRPr="0008572D">
        <w:rPr>
          <w:rFonts w:ascii="Arial" w:hAnsi="Arial" w:cs="Arial"/>
          <w:sz w:val="24"/>
          <w:szCs w:val="24"/>
        </w:rPr>
        <w:t>is effective April 16, 2012 with a compliance date of August 13, 2012.</w:t>
      </w:r>
    </w:p>
    <w:p w:rsidR="00C220A3" w:rsidRPr="0008572D" w:rsidRDefault="00C220A3" w:rsidP="0066487F">
      <w:pPr>
        <w:pStyle w:val="Heading1"/>
        <w:spacing w:before="0"/>
        <w:rPr>
          <w:rFonts w:cs="Arial"/>
          <w:color w:val="0070C0"/>
          <w:sz w:val="24"/>
          <w:szCs w:val="24"/>
        </w:rPr>
      </w:pPr>
    </w:p>
    <w:p w:rsidR="0066487F" w:rsidRPr="00E44139" w:rsidRDefault="00C220A3" w:rsidP="00C220A3">
      <w:pPr>
        <w:pStyle w:val="Heading1"/>
        <w:spacing w:before="0"/>
        <w:rPr>
          <w:rFonts w:cs="Arial"/>
          <w:color w:val="0070C0"/>
        </w:rPr>
      </w:pPr>
      <w:bookmarkStart w:id="1" w:name="_Toc335314186"/>
      <w:r w:rsidRPr="00E44139">
        <w:rPr>
          <w:rFonts w:cs="Arial"/>
          <w:color w:val="0070C0"/>
        </w:rPr>
        <w:t>Overview</w:t>
      </w:r>
      <w:bookmarkEnd w:id="1"/>
      <w:r w:rsidRPr="00E44139">
        <w:rPr>
          <w:rFonts w:cs="Arial"/>
          <w:color w:val="0070C0"/>
        </w:rPr>
        <w:t xml:space="preserve"> </w:t>
      </w:r>
    </w:p>
    <w:p w:rsidR="00C220A3" w:rsidRPr="0008572D" w:rsidRDefault="00C220A3" w:rsidP="00C220A3">
      <w:pPr>
        <w:autoSpaceDE w:val="0"/>
        <w:autoSpaceDN w:val="0"/>
        <w:adjustRightInd w:val="0"/>
        <w:spacing w:before="120"/>
        <w:jc w:val="both"/>
        <w:rPr>
          <w:rFonts w:ascii="Arial" w:hAnsi="Arial" w:cs="Arial"/>
          <w:sz w:val="24"/>
          <w:szCs w:val="24"/>
        </w:rPr>
      </w:pPr>
      <w:r w:rsidRPr="0008572D">
        <w:rPr>
          <w:rFonts w:ascii="Arial" w:hAnsi="Arial" w:cs="Arial"/>
          <w:sz w:val="24"/>
          <w:szCs w:val="24"/>
        </w:rPr>
        <w:t>The Bank Secrecy Act authorizes the Secretary of the Treasury (the “Secretary”) to issue regulations for entities</w:t>
      </w:r>
      <w:r w:rsidR="00E44139">
        <w:rPr>
          <w:rFonts w:ascii="Arial" w:hAnsi="Arial" w:cs="Arial"/>
          <w:sz w:val="24"/>
          <w:szCs w:val="24"/>
        </w:rPr>
        <w:t xml:space="preserve"> and</w:t>
      </w:r>
      <w:r w:rsidRPr="0008572D">
        <w:rPr>
          <w:rFonts w:ascii="Arial" w:hAnsi="Arial" w:cs="Arial"/>
          <w:sz w:val="24"/>
          <w:szCs w:val="24"/>
        </w:rPr>
        <w:t xml:space="preserve"> to keep records and file reports that the Secretary determines have a high degree of usefulness in criminal, tax, or regulatory investigations or proceedings, or in the conduct of intelligence or counter intelligence activities, including analysis, to protect against international terrorism.</w:t>
      </w:r>
    </w:p>
    <w:p w:rsidR="00C220A3" w:rsidRPr="0008572D" w:rsidRDefault="00C220A3" w:rsidP="00C220A3">
      <w:pPr>
        <w:autoSpaceDE w:val="0"/>
        <w:autoSpaceDN w:val="0"/>
        <w:adjustRightInd w:val="0"/>
        <w:jc w:val="both"/>
        <w:rPr>
          <w:rFonts w:ascii="Arial" w:hAnsi="Arial" w:cs="Arial"/>
          <w:sz w:val="24"/>
          <w:szCs w:val="24"/>
        </w:rPr>
      </w:pPr>
      <w:r w:rsidRPr="0008572D">
        <w:rPr>
          <w:rFonts w:ascii="Arial" w:hAnsi="Arial" w:cs="Arial"/>
          <w:sz w:val="24"/>
          <w:szCs w:val="24"/>
        </w:rPr>
        <w:t xml:space="preserve">Overall authority for enforcement and compliance is delegated by the Secretary to the Director of the Financial Crimes Enforcement Network (FinCEN). Federal regulators have been delegated authority to examine certain financial institutions they oversee for compliance with FinCEN’s regulations and the Internal Revenue Service (“IRS”) </w:t>
      </w:r>
      <w:r w:rsidR="00E44139">
        <w:rPr>
          <w:rFonts w:ascii="Arial" w:hAnsi="Arial" w:cs="Arial"/>
          <w:sz w:val="24"/>
          <w:szCs w:val="24"/>
        </w:rPr>
        <w:t>has</w:t>
      </w:r>
      <w:r w:rsidR="00E44139" w:rsidRPr="0008572D">
        <w:rPr>
          <w:rFonts w:ascii="Arial" w:hAnsi="Arial" w:cs="Arial"/>
          <w:sz w:val="24"/>
          <w:szCs w:val="24"/>
        </w:rPr>
        <w:t xml:space="preserve"> </w:t>
      </w:r>
      <w:r w:rsidRPr="0008572D">
        <w:rPr>
          <w:rFonts w:ascii="Arial" w:hAnsi="Arial" w:cs="Arial"/>
          <w:sz w:val="24"/>
          <w:szCs w:val="24"/>
        </w:rPr>
        <w:t>been delegated the authority, under this regulation to examine financial institutions that are not examined by a Federal regulator.</w:t>
      </w:r>
    </w:p>
    <w:p w:rsidR="00C220A3" w:rsidRPr="0008572D" w:rsidRDefault="00C220A3" w:rsidP="00C220A3">
      <w:pPr>
        <w:autoSpaceDE w:val="0"/>
        <w:autoSpaceDN w:val="0"/>
        <w:adjustRightInd w:val="0"/>
        <w:jc w:val="both"/>
        <w:rPr>
          <w:rFonts w:ascii="Arial" w:hAnsi="Arial" w:cs="Arial"/>
          <w:sz w:val="24"/>
          <w:szCs w:val="24"/>
        </w:rPr>
      </w:pPr>
      <w:r w:rsidRPr="0008572D">
        <w:rPr>
          <w:rFonts w:ascii="Arial" w:hAnsi="Arial" w:cs="Arial"/>
          <w:sz w:val="24"/>
          <w:szCs w:val="24"/>
        </w:rPr>
        <w:t xml:space="preserve">Prior to conducting </w:t>
      </w:r>
      <w:r w:rsidR="00E44139">
        <w:rPr>
          <w:rFonts w:ascii="Arial" w:hAnsi="Arial" w:cs="Arial"/>
          <w:sz w:val="24"/>
          <w:szCs w:val="24"/>
        </w:rPr>
        <w:t>Bank Secrecy Act (“</w:t>
      </w:r>
      <w:r w:rsidRPr="0008572D">
        <w:rPr>
          <w:rFonts w:ascii="Arial" w:hAnsi="Arial" w:cs="Arial"/>
          <w:sz w:val="24"/>
          <w:szCs w:val="24"/>
        </w:rPr>
        <w:t>BSA</w:t>
      </w:r>
      <w:r w:rsidR="00E44139">
        <w:rPr>
          <w:rFonts w:ascii="Arial" w:hAnsi="Arial" w:cs="Arial"/>
          <w:sz w:val="24"/>
          <w:szCs w:val="24"/>
        </w:rPr>
        <w:t>”)</w:t>
      </w:r>
      <w:r w:rsidRPr="0008572D">
        <w:rPr>
          <w:rFonts w:ascii="Arial" w:hAnsi="Arial" w:cs="Arial"/>
          <w:sz w:val="24"/>
          <w:szCs w:val="24"/>
        </w:rPr>
        <w:t>/</w:t>
      </w:r>
      <w:r w:rsidR="00E44139">
        <w:rPr>
          <w:rFonts w:ascii="Arial" w:hAnsi="Arial" w:cs="Arial"/>
          <w:sz w:val="24"/>
          <w:szCs w:val="24"/>
        </w:rPr>
        <w:t>Anti-Money Laundering (“</w:t>
      </w:r>
      <w:r w:rsidRPr="0008572D">
        <w:rPr>
          <w:rFonts w:ascii="Arial" w:hAnsi="Arial" w:cs="Arial"/>
          <w:sz w:val="24"/>
          <w:szCs w:val="24"/>
        </w:rPr>
        <w:t>AML</w:t>
      </w:r>
      <w:r w:rsidR="00E44139">
        <w:rPr>
          <w:rFonts w:ascii="Arial" w:hAnsi="Arial" w:cs="Arial"/>
          <w:sz w:val="24"/>
          <w:szCs w:val="24"/>
        </w:rPr>
        <w:t>”)</w:t>
      </w:r>
      <w:r w:rsidRPr="0008572D">
        <w:rPr>
          <w:rFonts w:ascii="Arial" w:hAnsi="Arial" w:cs="Arial"/>
          <w:sz w:val="24"/>
          <w:szCs w:val="24"/>
        </w:rPr>
        <w:t xml:space="preserve"> examinations, state agency representatives that regulate and examine RMLOs should review their specific state financial codes for applicable authority to examine for BSA compliance. </w:t>
      </w:r>
    </w:p>
    <w:p w:rsidR="00C220A3" w:rsidRPr="0008572D" w:rsidRDefault="00C220A3" w:rsidP="00C220A3">
      <w:pPr>
        <w:autoSpaceDE w:val="0"/>
        <w:autoSpaceDN w:val="0"/>
        <w:adjustRightInd w:val="0"/>
        <w:jc w:val="both"/>
        <w:rPr>
          <w:rFonts w:ascii="Arial" w:hAnsi="Arial" w:cs="Arial"/>
          <w:sz w:val="24"/>
          <w:szCs w:val="24"/>
        </w:rPr>
      </w:pPr>
      <w:r w:rsidRPr="0008572D">
        <w:rPr>
          <w:rFonts w:ascii="Arial" w:hAnsi="Arial" w:cs="Arial"/>
          <w:sz w:val="24"/>
          <w:szCs w:val="24"/>
        </w:rPr>
        <w:t xml:space="preserve">The mortgage market is a diverse industry with various parties involved in the loan process. The purpose of this section of the manual is to provide guidance to examiners for carrying out the BSA/AML examination and Suspicious Activity Reporting for </w:t>
      </w:r>
      <w:r w:rsidR="00E44139">
        <w:rPr>
          <w:rFonts w:ascii="Arial" w:hAnsi="Arial" w:cs="Arial"/>
          <w:sz w:val="24"/>
          <w:szCs w:val="24"/>
        </w:rPr>
        <w:t>Residential Mortgage Loan Originators (“RMLOs”)</w:t>
      </w:r>
      <w:r w:rsidRPr="0008572D">
        <w:rPr>
          <w:rFonts w:ascii="Arial" w:hAnsi="Arial" w:cs="Arial"/>
          <w:sz w:val="24"/>
          <w:szCs w:val="24"/>
        </w:rPr>
        <w:t>.  Additionally, it is to assist examiners in the evaluation for compliance with the anti-money laundering compliance program implementation and operation, as well as the BSA reporting and recordkeeping requirements under Title 31 CFR Parts 1010 and 1029.</w:t>
      </w:r>
    </w:p>
    <w:p w:rsidR="00C220A3" w:rsidRPr="0008572D" w:rsidRDefault="00C220A3" w:rsidP="00C220A3">
      <w:pPr>
        <w:autoSpaceDE w:val="0"/>
        <w:autoSpaceDN w:val="0"/>
        <w:adjustRightInd w:val="0"/>
        <w:jc w:val="both"/>
        <w:rPr>
          <w:rFonts w:ascii="Arial" w:hAnsi="Arial" w:cs="Arial"/>
          <w:sz w:val="24"/>
          <w:szCs w:val="24"/>
        </w:rPr>
      </w:pPr>
      <w:r w:rsidRPr="0008572D">
        <w:rPr>
          <w:rFonts w:ascii="Arial" w:hAnsi="Arial" w:cs="Arial"/>
          <w:sz w:val="24"/>
          <w:szCs w:val="24"/>
        </w:rPr>
        <w:t xml:space="preserve">A residential mortgage lender is defined in the BSA regulations as a person to whom the debt arising from a residential mortgage loan is initially payable or the obligation is initially assigned at or immediately after the settlement of the loan. The definition does not include an individual who finances the sale of the individual’s own dwelling or real property. </w:t>
      </w:r>
    </w:p>
    <w:p w:rsidR="00C220A3" w:rsidRPr="0008572D" w:rsidRDefault="00C220A3" w:rsidP="00C220A3">
      <w:pPr>
        <w:autoSpaceDE w:val="0"/>
        <w:autoSpaceDN w:val="0"/>
        <w:adjustRightInd w:val="0"/>
        <w:jc w:val="both"/>
        <w:rPr>
          <w:rFonts w:ascii="Arial" w:hAnsi="Arial" w:cs="Arial"/>
          <w:sz w:val="24"/>
          <w:szCs w:val="24"/>
        </w:rPr>
      </w:pPr>
      <w:r w:rsidRPr="0008572D">
        <w:rPr>
          <w:rFonts w:ascii="Arial" w:hAnsi="Arial" w:cs="Arial"/>
          <w:sz w:val="24"/>
          <w:szCs w:val="24"/>
        </w:rPr>
        <w:t xml:space="preserve">A residential mortgage originator is defined in the BSA regulations as a person whom accepts a residential mortgage loan application </w:t>
      </w:r>
      <w:r w:rsidR="001969B8">
        <w:rPr>
          <w:rFonts w:ascii="Arial" w:hAnsi="Arial" w:cs="Arial"/>
          <w:sz w:val="24"/>
          <w:szCs w:val="24"/>
        </w:rPr>
        <w:t>or</w:t>
      </w:r>
      <w:r w:rsidR="001969B8" w:rsidRPr="0008572D">
        <w:rPr>
          <w:rFonts w:ascii="Arial" w:hAnsi="Arial" w:cs="Arial"/>
          <w:sz w:val="24"/>
          <w:szCs w:val="24"/>
        </w:rPr>
        <w:t xml:space="preserve"> </w:t>
      </w:r>
      <w:r w:rsidRPr="0008572D">
        <w:rPr>
          <w:rFonts w:ascii="Arial" w:hAnsi="Arial" w:cs="Arial"/>
          <w:sz w:val="24"/>
          <w:szCs w:val="24"/>
        </w:rPr>
        <w:t xml:space="preserve">offers or negotiates terms of a residential mortgage loan for compensation or gain. A mortgage broker is included </w:t>
      </w:r>
      <w:r w:rsidRPr="0008572D">
        <w:rPr>
          <w:rFonts w:ascii="Arial" w:hAnsi="Arial" w:cs="Arial"/>
          <w:sz w:val="24"/>
          <w:szCs w:val="24"/>
        </w:rPr>
        <w:lastRenderedPageBreak/>
        <w:t>under this definition and would be required to establish a BSA/AML program and file suspicious activity reports (</w:t>
      </w:r>
      <w:r w:rsidR="001969B8">
        <w:rPr>
          <w:rFonts w:ascii="Arial" w:hAnsi="Arial" w:cs="Arial"/>
          <w:sz w:val="24"/>
          <w:szCs w:val="24"/>
        </w:rPr>
        <w:t>“</w:t>
      </w:r>
      <w:r w:rsidRPr="0008572D">
        <w:rPr>
          <w:rFonts w:ascii="Arial" w:hAnsi="Arial" w:cs="Arial"/>
          <w:sz w:val="24"/>
          <w:szCs w:val="24"/>
        </w:rPr>
        <w:t>SARs</w:t>
      </w:r>
      <w:r w:rsidR="001969B8">
        <w:rPr>
          <w:rFonts w:ascii="Arial" w:hAnsi="Arial" w:cs="Arial"/>
          <w:sz w:val="24"/>
          <w:szCs w:val="24"/>
        </w:rPr>
        <w:t>”</w:t>
      </w:r>
      <w:r w:rsidRPr="0008572D">
        <w:rPr>
          <w:rFonts w:ascii="Arial" w:hAnsi="Arial" w:cs="Arial"/>
          <w:sz w:val="24"/>
          <w:szCs w:val="24"/>
        </w:rPr>
        <w:t>).</w:t>
      </w:r>
    </w:p>
    <w:p w:rsidR="00C220A3" w:rsidRPr="0008572D" w:rsidRDefault="00C220A3" w:rsidP="00C220A3">
      <w:pPr>
        <w:autoSpaceDE w:val="0"/>
        <w:autoSpaceDN w:val="0"/>
        <w:adjustRightInd w:val="0"/>
        <w:spacing w:before="120"/>
        <w:jc w:val="both"/>
        <w:rPr>
          <w:rFonts w:ascii="Arial" w:hAnsi="Arial" w:cs="Arial"/>
          <w:sz w:val="24"/>
          <w:szCs w:val="24"/>
        </w:rPr>
      </w:pPr>
      <w:r w:rsidRPr="0008572D">
        <w:rPr>
          <w:rFonts w:ascii="Arial" w:hAnsi="Arial" w:cs="Arial"/>
          <w:sz w:val="24"/>
          <w:szCs w:val="24"/>
        </w:rPr>
        <w:t>An RMLO is required to implement risk-based programs that take into account the unique risks associated with that particular business’</w:t>
      </w:r>
      <w:r w:rsidR="001969B8">
        <w:rPr>
          <w:rFonts w:ascii="Arial" w:hAnsi="Arial" w:cs="Arial"/>
          <w:sz w:val="24"/>
          <w:szCs w:val="24"/>
        </w:rPr>
        <w:t>s</w:t>
      </w:r>
      <w:r w:rsidRPr="0008572D">
        <w:rPr>
          <w:rFonts w:ascii="Arial" w:hAnsi="Arial" w:cs="Arial"/>
          <w:sz w:val="24"/>
          <w:szCs w:val="24"/>
        </w:rPr>
        <w:t xml:space="preserve"> products and services, as well as the business’</w:t>
      </w:r>
      <w:r w:rsidR="001969B8">
        <w:rPr>
          <w:rFonts w:ascii="Arial" w:hAnsi="Arial" w:cs="Arial"/>
          <w:sz w:val="24"/>
          <w:szCs w:val="24"/>
        </w:rPr>
        <w:t>s</w:t>
      </w:r>
      <w:r w:rsidRPr="0008572D">
        <w:rPr>
          <w:rFonts w:ascii="Arial" w:hAnsi="Arial" w:cs="Arial"/>
          <w:sz w:val="24"/>
          <w:szCs w:val="24"/>
        </w:rPr>
        <w:t xml:space="preserve"> size, market, and other issues. Thus, each BSA/AML program may vary due to different product offerings, geograph</w:t>
      </w:r>
      <w:r w:rsidR="001969B8">
        <w:rPr>
          <w:rFonts w:ascii="Arial" w:hAnsi="Arial" w:cs="Arial"/>
          <w:sz w:val="24"/>
          <w:szCs w:val="24"/>
        </w:rPr>
        <w:t>y</w:t>
      </w:r>
      <w:r w:rsidRPr="0008572D">
        <w:rPr>
          <w:rFonts w:ascii="Arial" w:hAnsi="Arial" w:cs="Arial"/>
          <w:sz w:val="24"/>
          <w:szCs w:val="24"/>
        </w:rPr>
        <w:t xml:space="preserve">, and other risks. </w:t>
      </w:r>
    </w:p>
    <w:p w:rsidR="00C220A3" w:rsidRPr="0008572D" w:rsidRDefault="00C220A3" w:rsidP="00C220A3">
      <w:pPr>
        <w:jc w:val="both"/>
        <w:rPr>
          <w:rFonts w:ascii="Arial" w:hAnsi="Arial" w:cs="Arial"/>
          <w:sz w:val="24"/>
          <w:szCs w:val="24"/>
        </w:rPr>
      </w:pPr>
      <w:r w:rsidRPr="0008572D">
        <w:rPr>
          <w:rFonts w:ascii="Arial" w:hAnsi="Arial" w:cs="Arial"/>
          <w:sz w:val="24"/>
          <w:szCs w:val="24"/>
        </w:rPr>
        <w:t>Mortgage fraud is one of the most significant operational risks facing RMLOs in the ordinary course of business. There are two motivations for mortgage fraud:  fraud for house and for profit.  Mortgage fraud generally involves material misrepresentation or omission of information, such as income, net worth and employment record, with the intent to deceive or mislead lenders or homeowners</w:t>
      </w:r>
      <w:r w:rsidR="001969B8">
        <w:rPr>
          <w:rFonts w:ascii="Arial" w:hAnsi="Arial" w:cs="Arial"/>
          <w:sz w:val="24"/>
          <w:szCs w:val="24"/>
        </w:rPr>
        <w:t>.</w:t>
      </w:r>
      <w:r w:rsidRPr="0008572D">
        <w:rPr>
          <w:rStyle w:val="FootnoteReference"/>
          <w:rFonts w:ascii="Arial" w:hAnsi="Arial" w:cs="Arial"/>
          <w:sz w:val="24"/>
          <w:vertAlign w:val="superscript"/>
        </w:rPr>
        <w:footnoteReference w:id="1"/>
      </w:r>
      <w:r w:rsidRPr="0008572D">
        <w:rPr>
          <w:rFonts w:ascii="Arial" w:hAnsi="Arial" w:cs="Arial"/>
          <w:sz w:val="24"/>
          <w:szCs w:val="24"/>
        </w:rPr>
        <w:t xml:space="preserve">   Laundering the proceeds of fraud is the next step once a fraud has generated a benefit. Because of the complexity of the schemes, RMLOs should address mortgage fraud</w:t>
      </w:r>
      <w:r w:rsidR="00DA35CD">
        <w:rPr>
          <w:rFonts w:ascii="Arial" w:hAnsi="Arial" w:cs="Arial"/>
          <w:sz w:val="24"/>
          <w:szCs w:val="24"/>
        </w:rPr>
        <w:t xml:space="preserve"> risks as well as mitigations in policies, procedures, and internal controls as well as training.</w:t>
      </w:r>
      <w:r w:rsidRPr="0008572D">
        <w:rPr>
          <w:rStyle w:val="FootnoteReference"/>
          <w:rFonts w:ascii="Arial" w:hAnsi="Arial" w:cs="Arial"/>
          <w:sz w:val="24"/>
          <w:vertAlign w:val="superscript"/>
        </w:rPr>
        <w:footnoteReference w:id="2"/>
      </w:r>
      <w:r w:rsidRPr="0008572D">
        <w:rPr>
          <w:rFonts w:ascii="Arial" w:hAnsi="Arial" w:cs="Arial"/>
          <w:sz w:val="24"/>
          <w:szCs w:val="24"/>
        </w:rPr>
        <w:t xml:space="preserve">  </w:t>
      </w:r>
    </w:p>
    <w:p w:rsidR="00C220A3" w:rsidRPr="0008572D" w:rsidRDefault="00C220A3" w:rsidP="00C220A3">
      <w:pPr>
        <w:jc w:val="both"/>
        <w:rPr>
          <w:rFonts w:ascii="Arial" w:hAnsi="Arial" w:cs="Arial"/>
          <w:sz w:val="24"/>
          <w:szCs w:val="24"/>
        </w:rPr>
      </w:pPr>
      <w:r w:rsidRPr="0008572D">
        <w:rPr>
          <w:rFonts w:ascii="Arial" w:hAnsi="Arial" w:cs="Arial"/>
          <w:sz w:val="24"/>
          <w:szCs w:val="24"/>
        </w:rPr>
        <w:t>Commonly reported schemes include:</w:t>
      </w:r>
    </w:p>
    <w:p w:rsidR="00C220A3" w:rsidRPr="0008572D" w:rsidRDefault="00C220A3" w:rsidP="00C220A3">
      <w:pPr>
        <w:pStyle w:val="ListParagraph"/>
        <w:numPr>
          <w:ilvl w:val="0"/>
          <w:numId w:val="1"/>
        </w:numPr>
        <w:jc w:val="both"/>
        <w:rPr>
          <w:rFonts w:ascii="Arial" w:hAnsi="Arial" w:cs="Arial"/>
          <w:szCs w:val="24"/>
        </w:rPr>
      </w:pPr>
      <w:r w:rsidRPr="00C3748E">
        <w:rPr>
          <w:rFonts w:ascii="Arial" w:hAnsi="Arial" w:cs="Arial"/>
          <w:i/>
          <w:szCs w:val="24"/>
        </w:rPr>
        <w:t>Advance Fee Schemes</w:t>
      </w:r>
      <w:r w:rsidRPr="0008572D">
        <w:rPr>
          <w:rFonts w:ascii="Arial" w:hAnsi="Arial" w:cs="Arial"/>
          <w:szCs w:val="24"/>
        </w:rPr>
        <w:t xml:space="preserve"> deceive homeowners who pay for services upfront to modify loans and never receive services.</w:t>
      </w:r>
    </w:p>
    <w:p w:rsidR="00C220A3" w:rsidRPr="0008572D" w:rsidRDefault="00C220A3" w:rsidP="00C220A3">
      <w:pPr>
        <w:pStyle w:val="ListParagraph"/>
        <w:numPr>
          <w:ilvl w:val="0"/>
          <w:numId w:val="1"/>
        </w:numPr>
        <w:jc w:val="both"/>
        <w:rPr>
          <w:rFonts w:ascii="Arial" w:hAnsi="Arial" w:cs="Arial"/>
          <w:szCs w:val="24"/>
        </w:rPr>
      </w:pPr>
      <w:r w:rsidRPr="00C3748E">
        <w:rPr>
          <w:rFonts w:ascii="Arial" w:hAnsi="Arial" w:cs="Arial"/>
          <w:i/>
          <w:szCs w:val="24"/>
        </w:rPr>
        <w:t>Debt Elimination Schemes</w:t>
      </w:r>
      <w:r w:rsidRPr="0008572D">
        <w:rPr>
          <w:rFonts w:ascii="Arial" w:hAnsi="Arial" w:cs="Arial"/>
          <w:szCs w:val="24"/>
        </w:rPr>
        <w:t xml:space="preserve"> purports to eliminate borrowers’ debt for a fee utilizing fraudulent financial documents claiming the debt has been settled. </w:t>
      </w:r>
    </w:p>
    <w:p w:rsidR="00AB1DD8" w:rsidRPr="00C3748E" w:rsidRDefault="00C220A3" w:rsidP="00C3748E">
      <w:pPr>
        <w:pStyle w:val="ListParagraph"/>
        <w:widowControl/>
        <w:numPr>
          <w:ilvl w:val="0"/>
          <w:numId w:val="1"/>
        </w:numPr>
        <w:rPr>
          <w:rFonts w:ascii="Arial" w:hAnsi="Arial" w:cs="Arial"/>
        </w:rPr>
      </w:pPr>
      <w:r w:rsidRPr="00C3748E">
        <w:rPr>
          <w:rFonts w:ascii="Arial" w:hAnsi="Arial" w:cs="Arial"/>
          <w:i/>
          <w:szCs w:val="24"/>
        </w:rPr>
        <w:t>Straw Borrower Schemes</w:t>
      </w:r>
      <w:r w:rsidRPr="0008572D">
        <w:rPr>
          <w:rFonts w:ascii="Arial" w:hAnsi="Arial" w:cs="Arial"/>
          <w:szCs w:val="24"/>
        </w:rPr>
        <w:t xml:space="preserve"> involve consumers that are paid for the use of their name and credit information, hiding the identity of the true owner. </w:t>
      </w:r>
    </w:p>
    <w:p w:rsidR="00C220A3" w:rsidRPr="0008572D" w:rsidRDefault="00C220A3" w:rsidP="00C220A3">
      <w:pPr>
        <w:pStyle w:val="ListParagraph"/>
        <w:jc w:val="both"/>
        <w:rPr>
          <w:rFonts w:ascii="Arial" w:hAnsi="Arial" w:cs="Arial"/>
          <w:szCs w:val="24"/>
        </w:rPr>
      </w:pPr>
    </w:p>
    <w:p w:rsidR="00C220A3" w:rsidRPr="0008572D" w:rsidRDefault="00C220A3" w:rsidP="00C220A3">
      <w:pPr>
        <w:jc w:val="both"/>
        <w:rPr>
          <w:rFonts w:ascii="Arial" w:hAnsi="Arial" w:cs="Arial"/>
          <w:sz w:val="24"/>
          <w:szCs w:val="24"/>
        </w:rPr>
      </w:pPr>
      <w:r w:rsidRPr="0008572D">
        <w:rPr>
          <w:rFonts w:ascii="Arial" w:hAnsi="Arial" w:cs="Arial"/>
          <w:sz w:val="24"/>
          <w:szCs w:val="24"/>
        </w:rPr>
        <w:t>The motivation behind mortgage fraud is money. This type of profit is often committed with the complicity of industry insiders such as mortgage brokers, real estate agents, appraisers, and settlement agents</w:t>
      </w:r>
      <w:r w:rsidR="00156318">
        <w:rPr>
          <w:rFonts w:ascii="Arial" w:hAnsi="Arial" w:cs="Arial"/>
          <w:sz w:val="24"/>
          <w:szCs w:val="24"/>
        </w:rPr>
        <w:t>.</w:t>
      </w:r>
      <w:r w:rsidRPr="0008572D">
        <w:rPr>
          <w:rStyle w:val="FootnoteReference"/>
          <w:rFonts w:ascii="Arial" w:hAnsi="Arial" w:cs="Arial"/>
          <w:sz w:val="24"/>
          <w:vertAlign w:val="superscript"/>
        </w:rPr>
        <w:footnoteReference w:id="3"/>
      </w:r>
      <w:r w:rsidRPr="0008572D">
        <w:rPr>
          <w:rFonts w:ascii="Arial" w:hAnsi="Arial" w:cs="Arial"/>
          <w:sz w:val="24"/>
          <w:szCs w:val="24"/>
        </w:rPr>
        <w:t xml:space="preserve"> It is recognized that this fraud could generate large losses per individual transactions, have multiple misrepresentations per loan file</w:t>
      </w:r>
      <w:r w:rsidR="00156318">
        <w:rPr>
          <w:rFonts w:ascii="Arial" w:hAnsi="Arial" w:cs="Arial"/>
          <w:sz w:val="24"/>
          <w:szCs w:val="24"/>
        </w:rPr>
        <w:t>,</w:t>
      </w:r>
      <w:r w:rsidRPr="0008572D">
        <w:rPr>
          <w:rFonts w:ascii="Arial" w:hAnsi="Arial" w:cs="Arial"/>
          <w:sz w:val="24"/>
          <w:szCs w:val="24"/>
        </w:rPr>
        <w:t xml:space="preserve"> and the participants often are paid for their part. </w:t>
      </w:r>
    </w:p>
    <w:p w:rsidR="00C220A3" w:rsidRPr="0008572D" w:rsidRDefault="00C220A3" w:rsidP="00C220A3">
      <w:pPr>
        <w:jc w:val="both"/>
        <w:rPr>
          <w:rFonts w:ascii="Arial" w:hAnsi="Arial" w:cs="Arial"/>
          <w:sz w:val="24"/>
          <w:szCs w:val="24"/>
        </w:rPr>
      </w:pPr>
      <w:r w:rsidRPr="0008572D">
        <w:rPr>
          <w:rFonts w:ascii="Arial" w:hAnsi="Arial" w:cs="Arial"/>
          <w:sz w:val="24"/>
          <w:szCs w:val="24"/>
        </w:rPr>
        <w:t xml:space="preserve">In addition, there is a large proportion of mortgage fraud done by misrepresentation of the identity of the potential customer in the origination process.  The ID Theft </w:t>
      </w:r>
      <w:r w:rsidR="00EC5B59" w:rsidRPr="0008572D">
        <w:rPr>
          <w:rFonts w:ascii="Arial" w:hAnsi="Arial" w:cs="Arial"/>
          <w:sz w:val="24"/>
          <w:szCs w:val="24"/>
        </w:rPr>
        <w:t>Red Flag</w:t>
      </w:r>
      <w:r w:rsidRPr="0008572D">
        <w:rPr>
          <w:rFonts w:ascii="Arial" w:hAnsi="Arial" w:cs="Arial"/>
          <w:sz w:val="24"/>
          <w:szCs w:val="24"/>
        </w:rPr>
        <w:t xml:space="preserve"> </w:t>
      </w:r>
      <w:r w:rsidRPr="0008572D">
        <w:rPr>
          <w:rFonts w:ascii="Arial" w:hAnsi="Arial" w:cs="Arial"/>
          <w:sz w:val="24"/>
          <w:szCs w:val="24"/>
        </w:rPr>
        <w:lastRenderedPageBreak/>
        <w:t>Regulation</w:t>
      </w:r>
      <w:r w:rsidRPr="0008572D">
        <w:rPr>
          <w:rStyle w:val="FootnoteReference"/>
          <w:rFonts w:ascii="Arial" w:hAnsi="Arial" w:cs="Arial"/>
          <w:sz w:val="24"/>
          <w:vertAlign w:val="superscript"/>
        </w:rPr>
        <w:footnoteReference w:id="4"/>
      </w:r>
      <w:r w:rsidRPr="0008572D">
        <w:rPr>
          <w:rFonts w:ascii="Arial" w:hAnsi="Arial" w:cs="Arial"/>
          <w:sz w:val="24"/>
          <w:szCs w:val="24"/>
        </w:rPr>
        <w:t xml:space="preserve"> requires the develop</w:t>
      </w:r>
      <w:r w:rsidR="001A2568">
        <w:rPr>
          <w:rFonts w:ascii="Arial" w:hAnsi="Arial" w:cs="Arial"/>
          <w:sz w:val="24"/>
          <w:szCs w:val="24"/>
        </w:rPr>
        <w:t>ment</w:t>
      </w:r>
      <w:r w:rsidRPr="0008572D">
        <w:rPr>
          <w:rFonts w:ascii="Arial" w:hAnsi="Arial" w:cs="Arial"/>
          <w:sz w:val="24"/>
          <w:szCs w:val="24"/>
        </w:rPr>
        <w:t xml:space="preserve"> and implementation of a written identity theft prevention program designed to detect, prevent and mitigate identity theft in connection with the opening of a covered account or any existing covered account.  The program must be commensurate to the size and complexity of the company and to the nature of its activities. </w:t>
      </w:r>
    </w:p>
    <w:p w:rsidR="00C220A3" w:rsidRPr="0008572D" w:rsidRDefault="00C220A3" w:rsidP="00C220A3">
      <w:pPr>
        <w:jc w:val="both"/>
        <w:rPr>
          <w:rFonts w:ascii="Arial" w:hAnsi="Arial" w:cs="Arial"/>
          <w:sz w:val="24"/>
          <w:szCs w:val="24"/>
        </w:rPr>
      </w:pPr>
      <w:r w:rsidRPr="0008572D">
        <w:rPr>
          <w:rFonts w:ascii="Arial" w:hAnsi="Arial" w:cs="Arial"/>
          <w:sz w:val="24"/>
          <w:szCs w:val="24"/>
        </w:rPr>
        <w:t>The regulation lists the four basic elements that must be included in the program and must contain reasonable policies and procedures to:</w:t>
      </w:r>
    </w:p>
    <w:p w:rsidR="00C220A3" w:rsidRPr="0008572D" w:rsidRDefault="00C220A3" w:rsidP="00C220A3">
      <w:pPr>
        <w:pStyle w:val="ListParagraph"/>
        <w:numPr>
          <w:ilvl w:val="0"/>
          <w:numId w:val="2"/>
        </w:numPr>
        <w:jc w:val="both"/>
        <w:rPr>
          <w:rFonts w:ascii="Arial" w:hAnsi="Arial" w:cs="Arial"/>
          <w:szCs w:val="24"/>
        </w:rPr>
      </w:pPr>
      <w:r w:rsidRPr="0008572D">
        <w:rPr>
          <w:rFonts w:ascii="Arial" w:hAnsi="Arial" w:cs="Arial"/>
          <w:szCs w:val="24"/>
        </w:rPr>
        <w:t>Identify relevant Red Flags for covered accounts and incorporate those Red Flags into the program,</w:t>
      </w:r>
    </w:p>
    <w:p w:rsidR="00C220A3" w:rsidRPr="0008572D" w:rsidRDefault="00C220A3" w:rsidP="00C220A3">
      <w:pPr>
        <w:pStyle w:val="ListParagraph"/>
        <w:numPr>
          <w:ilvl w:val="0"/>
          <w:numId w:val="2"/>
        </w:numPr>
        <w:jc w:val="both"/>
        <w:rPr>
          <w:rFonts w:ascii="Arial" w:hAnsi="Arial" w:cs="Arial"/>
          <w:szCs w:val="24"/>
        </w:rPr>
      </w:pPr>
      <w:r w:rsidRPr="0008572D">
        <w:rPr>
          <w:rFonts w:ascii="Arial" w:hAnsi="Arial" w:cs="Arial"/>
          <w:szCs w:val="24"/>
        </w:rPr>
        <w:t>Detect Red Flags that have been incorporated into the program,</w:t>
      </w:r>
    </w:p>
    <w:p w:rsidR="00C220A3" w:rsidRPr="0008572D" w:rsidRDefault="00C220A3" w:rsidP="00C220A3">
      <w:pPr>
        <w:pStyle w:val="ListParagraph"/>
        <w:numPr>
          <w:ilvl w:val="0"/>
          <w:numId w:val="2"/>
        </w:numPr>
        <w:jc w:val="both"/>
        <w:rPr>
          <w:rFonts w:ascii="Arial" w:hAnsi="Arial" w:cs="Arial"/>
          <w:szCs w:val="24"/>
        </w:rPr>
      </w:pPr>
      <w:r w:rsidRPr="0008572D">
        <w:rPr>
          <w:rFonts w:ascii="Arial" w:hAnsi="Arial" w:cs="Arial"/>
          <w:szCs w:val="24"/>
        </w:rPr>
        <w:t xml:space="preserve">Respond appropriately to any Red Flags to prevent and mitigate ID theft, and </w:t>
      </w:r>
    </w:p>
    <w:p w:rsidR="00C220A3" w:rsidRPr="0008572D" w:rsidRDefault="00C220A3" w:rsidP="0066487F">
      <w:pPr>
        <w:pStyle w:val="ListParagraph"/>
        <w:numPr>
          <w:ilvl w:val="0"/>
          <w:numId w:val="3"/>
        </w:numPr>
        <w:jc w:val="both"/>
        <w:rPr>
          <w:rFonts w:ascii="Arial" w:hAnsi="Arial" w:cs="Arial"/>
          <w:szCs w:val="24"/>
        </w:rPr>
      </w:pPr>
      <w:r w:rsidRPr="0008572D">
        <w:rPr>
          <w:rFonts w:ascii="Arial" w:hAnsi="Arial" w:cs="Arial"/>
          <w:szCs w:val="24"/>
        </w:rPr>
        <w:t xml:space="preserve">Ensure that the program is updated periodically to reflect changes in risks to customers or to the safety and soundness of the financial institution or creditor from identity theft.   </w:t>
      </w:r>
    </w:p>
    <w:p w:rsidR="00C220A3" w:rsidRPr="0008572D" w:rsidRDefault="00C220A3" w:rsidP="00C220A3">
      <w:pPr>
        <w:pStyle w:val="ListParagraph"/>
        <w:ind w:left="900"/>
        <w:jc w:val="both"/>
        <w:rPr>
          <w:rFonts w:ascii="Arial" w:hAnsi="Arial" w:cs="Arial"/>
          <w:szCs w:val="24"/>
        </w:rPr>
      </w:pPr>
    </w:p>
    <w:p w:rsidR="0097073A" w:rsidRPr="00040EF0" w:rsidRDefault="0097073A" w:rsidP="0097073A">
      <w:pPr>
        <w:pStyle w:val="Heading1"/>
        <w:spacing w:before="0"/>
        <w:rPr>
          <w:color w:val="0070C0"/>
        </w:rPr>
      </w:pPr>
      <w:bookmarkStart w:id="2" w:name="_Toc332098226"/>
      <w:bookmarkStart w:id="3" w:name="_Toc335314187"/>
      <w:r>
        <w:rPr>
          <w:color w:val="0070C0"/>
        </w:rPr>
        <w:t>Anti-Money Laundering Program</w:t>
      </w:r>
      <w:bookmarkEnd w:id="2"/>
      <w:bookmarkEnd w:id="3"/>
      <w:r w:rsidRPr="00040EF0">
        <w:rPr>
          <w:color w:val="0070C0"/>
        </w:rPr>
        <w:t xml:space="preserve"> </w:t>
      </w:r>
    </w:p>
    <w:p w:rsidR="0097073A" w:rsidRPr="00040EF0" w:rsidRDefault="0097073A" w:rsidP="0097073A">
      <w:pPr>
        <w:pStyle w:val="Heading2"/>
      </w:pPr>
      <w:bookmarkStart w:id="4" w:name="_Toc335314188"/>
      <w:r>
        <w:t>Introduction</w:t>
      </w:r>
      <w:bookmarkEnd w:id="4"/>
    </w:p>
    <w:p w:rsidR="00C220A3" w:rsidRPr="00C220A3" w:rsidRDefault="00C220A3" w:rsidP="00C220A3">
      <w:pPr>
        <w:spacing w:after="0" w:line="240" w:lineRule="auto"/>
        <w:rPr>
          <w:rFonts w:ascii="Arial" w:eastAsia="Times New Roman" w:hAnsi="Arial" w:cs="Arial"/>
          <w:b/>
          <w:sz w:val="24"/>
          <w:szCs w:val="24"/>
        </w:rPr>
      </w:pPr>
    </w:p>
    <w:p w:rsidR="00C220A3" w:rsidRPr="0008572D" w:rsidRDefault="00C220A3" w:rsidP="00C220A3">
      <w:pPr>
        <w:autoSpaceDE w:val="0"/>
        <w:autoSpaceDN w:val="0"/>
        <w:adjustRightInd w:val="0"/>
        <w:jc w:val="both"/>
        <w:rPr>
          <w:rFonts w:ascii="Arial" w:hAnsi="Arial" w:cs="Arial"/>
          <w:sz w:val="24"/>
          <w:szCs w:val="24"/>
        </w:rPr>
      </w:pPr>
      <w:r w:rsidRPr="0008572D">
        <w:rPr>
          <w:rFonts w:ascii="Arial" w:hAnsi="Arial" w:cs="Arial"/>
          <w:sz w:val="24"/>
          <w:szCs w:val="24"/>
        </w:rPr>
        <w:t>RMLOs are required to establish BSA/AML programs that include, at a minimum: (1) the development of internal policies, procedures, and controls; (2) the designation of a compliance officer; (3) an ongoing employee training program; and (4) provide for independent testing to determine BSA compliance. The scope and frequency of the testing shall be commensurate with the risks posed by the company’s products and services. Such testing may be conducted by a third party or by an officer or employee of the RMLO, so long as the person is not the compliance officer or reports to the compliance officer.</w:t>
      </w:r>
    </w:p>
    <w:p w:rsidR="00C220A3" w:rsidRPr="0008572D" w:rsidRDefault="00C220A3" w:rsidP="00C220A3">
      <w:pPr>
        <w:jc w:val="both"/>
        <w:rPr>
          <w:rFonts w:ascii="Arial" w:hAnsi="Arial" w:cs="Arial"/>
          <w:sz w:val="24"/>
          <w:szCs w:val="24"/>
        </w:rPr>
      </w:pPr>
      <w:r w:rsidRPr="0008572D">
        <w:rPr>
          <w:rFonts w:ascii="Arial" w:hAnsi="Arial" w:cs="Arial"/>
          <w:sz w:val="24"/>
          <w:szCs w:val="24"/>
        </w:rPr>
        <w:t>Section 1029.210 requires that all RMLOs establish, develop</w:t>
      </w:r>
      <w:r w:rsidR="001A2568">
        <w:rPr>
          <w:rFonts w:ascii="Arial" w:hAnsi="Arial" w:cs="Arial"/>
          <w:sz w:val="24"/>
          <w:szCs w:val="24"/>
        </w:rPr>
        <w:t>,</w:t>
      </w:r>
      <w:r w:rsidRPr="0008572D">
        <w:rPr>
          <w:rFonts w:ascii="Arial" w:hAnsi="Arial" w:cs="Arial"/>
          <w:sz w:val="24"/>
          <w:szCs w:val="24"/>
        </w:rPr>
        <w:t xml:space="preserve"> and implement a written anti-money laundering program under a risk-based approach that is reasonably designed to prevent the RMLO from being used to facilitate money laundering or the financing of terrorist activities. The program must be approved by senior management, or in some cases, the Board of Directors depending on the corporate structure of the RMLO.  </w:t>
      </w:r>
    </w:p>
    <w:p w:rsidR="00C220A3" w:rsidRPr="0008572D" w:rsidRDefault="00C220A3" w:rsidP="00C220A3">
      <w:pPr>
        <w:jc w:val="both"/>
        <w:rPr>
          <w:rFonts w:ascii="Arial" w:hAnsi="Arial" w:cs="Arial"/>
          <w:sz w:val="24"/>
          <w:szCs w:val="24"/>
        </w:rPr>
      </w:pPr>
      <w:r w:rsidRPr="0008572D">
        <w:rPr>
          <w:rFonts w:ascii="Arial" w:hAnsi="Arial" w:cs="Arial"/>
          <w:sz w:val="24"/>
          <w:szCs w:val="24"/>
        </w:rPr>
        <w:t xml:space="preserve">The four pillars of the BSA/AML program are: </w:t>
      </w:r>
    </w:p>
    <w:p w:rsidR="00C220A3" w:rsidRPr="0008572D" w:rsidRDefault="00C220A3" w:rsidP="00C220A3">
      <w:pPr>
        <w:pStyle w:val="ListParagraph"/>
        <w:numPr>
          <w:ilvl w:val="0"/>
          <w:numId w:val="4"/>
        </w:numPr>
        <w:jc w:val="both"/>
        <w:rPr>
          <w:rFonts w:ascii="Arial" w:hAnsi="Arial" w:cs="Arial"/>
          <w:szCs w:val="24"/>
        </w:rPr>
      </w:pPr>
      <w:r w:rsidRPr="0008572D">
        <w:rPr>
          <w:rFonts w:ascii="Arial" w:hAnsi="Arial" w:cs="Arial"/>
          <w:szCs w:val="24"/>
        </w:rPr>
        <w:t xml:space="preserve">Internal Controls and Procedures </w:t>
      </w:r>
    </w:p>
    <w:p w:rsidR="00C220A3" w:rsidRPr="0008572D" w:rsidRDefault="00C220A3" w:rsidP="00C220A3">
      <w:pPr>
        <w:pStyle w:val="ListParagraph"/>
        <w:numPr>
          <w:ilvl w:val="0"/>
          <w:numId w:val="4"/>
        </w:numPr>
        <w:jc w:val="both"/>
        <w:rPr>
          <w:rFonts w:ascii="Arial" w:hAnsi="Arial" w:cs="Arial"/>
          <w:szCs w:val="24"/>
        </w:rPr>
      </w:pPr>
      <w:r w:rsidRPr="0008572D">
        <w:rPr>
          <w:rFonts w:ascii="Arial" w:hAnsi="Arial" w:cs="Arial"/>
          <w:szCs w:val="24"/>
        </w:rPr>
        <w:lastRenderedPageBreak/>
        <w:t xml:space="preserve">Designation of a Compliance </w:t>
      </w:r>
      <w:r w:rsidR="00587D9A">
        <w:rPr>
          <w:rFonts w:ascii="Arial" w:hAnsi="Arial" w:cs="Arial"/>
          <w:szCs w:val="24"/>
        </w:rPr>
        <w:t>O</w:t>
      </w:r>
      <w:r w:rsidRPr="0008572D">
        <w:rPr>
          <w:rFonts w:ascii="Arial" w:hAnsi="Arial" w:cs="Arial"/>
          <w:szCs w:val="24"/>
        </w:rPr>
        <w:t>fficer</w:t>
      </w:r>
    </w:p>
    <w:p w:rsidR="00C220A3" w:rsidRPr="0008572D" w:rsidRDefault="00C220A3" w:rsidP="00C220A3">
      <w:pPr>
        <w:pStyle w:val="ListParagraph"/>
        <w:numPr>
          <w:ilvl w:val="0"/>
          <w:numId w:val="4"/>
        </w:numPr>
        <w:jc w:val="both"/>
        <w:rPr>
          <w:rFonts w:ascii="Arial" w:hAnsi="Arial" w:cs="Arial"/>
          <w:szCs w:val="24"/>
        </w:rPr>
      </w:pPr>
      <w:r w:rsidRPr="0008572D">
        <w:rPr>
          <w:rFonts w:ascii="Arial" w:hAnsi="Arial" w:cs="Arial"/>
          <w:szCs w:val="24"/>
        </w:rPr>
        <w:t>Training</w:t>
      </w:r>
    </w:p>
    <w:p w:rsidR="0066487F" w:rsidRDefault="00C220A3" w:rsidP="00C220A3">
      <w:pPr>
        <w:pStyle w:val="ListParagraph"/>
        <w:numPr>
          <w:ilvl w:val="0"/>
          <w:numId w:val="4"/>
        </w:numPr>
        <w:jc w:val="both"/>
        <w:rPr>
          <w:rFonts w:ascii="Arial" w:hAnsi="Arial" w:cs="Arial"/>
          <w:szCs w:val="24"/>
        </w:rPr>
      </w:pPr>
      <w:r w:rsidRPr="0008572D">
        <w:rPr>
          <w:rFonts w:ascii="Arial" w:hAnsi="Arial" w:cs="Arial"/>
          <w:szCs w:val="24"/>
        </w:rPr>
        <w:t xml:space="preserve">Independent </w:t>
      </w:r>
      <w:r w:rsidR="00587D9A">
        <w:rPr>
          <w:rFonts w:ascii="Arial" w:hAnsi="Arial" w:cs="Arial"/>
          <w:szCs w:val="24"/>
        </w:rPr>
        <w:t>T</w:t>
      </w:r>
      <w:r w:rsidRPr="0008572D">
        <w:rPr>
          <w:rFonts w:ascii="Arial" w:hAnsi="Arial" w:cs="Arial"/>
          <w:szCs w:val="24"/>
        </w:rPr>
        <w:t>esting</w:t>
      </w:r>
    </w:p>
    <w:p w:rsidR="00C3748E" w:rsidRPr="0008572D" w:rsidRDefault="00C3748E" w:rsidP="00C3748E">
      <w:pPr>
        <w:pStyle w:val="ListParagraph"/>
        <w:jc w:val="both"/>
        <w:rPr>
          <w:rFonts w:ascii="Arial" w:hAnsi="Arial" w:cs="Arial"/>
          <w:szCs w:val="24"/>
        </w:rPr>
      </w:pPr>
    </w:p>
    <w:p w:rsidR="00C220A3" w:rsidRPr="002333BB" w:rsidRDefault="0097073A" w:rsidP="0097073A">
      <w:pPr>
        <w:pStyle w:val="Heading2"/>
        <w:rPr>
          <w:rFonts w:cs="Arial"/>
          <w:bCs w:val="0"/>
          <w:sz w:val="24"/>
          <w:szCs w:val="24"/>
        </w:rPr>
      </w:pPr>
      <w:bookmarkStart w:id="5" w:name="_Toc332098228"/>
      <w:bookmarkStart w:id="6" w:name="_Toc335314189"/>
      <w:r>
        <w:t>Internal Controls and Procedures</w:t>
      </w:r>
      <w:bookmarkEnd w:id="5"/>
      <w:bookmarkEnd w:id="6"/>
    </w:p>
    <w:p w:rsidR="00C220A3" w:rsidRPr="00C220A3" w:rsidRDefault="00C220A3" w:rsidP="00C220A3">
      <w:pPr>
        <w:keepNext/>
        <w:keepLines/>
        <w:spacing w:before="200" w:after="0" w:line="240" w:lineRule="auto"/>
        <w:outlineLvl w:val="1"/>
        <w:rPr>
          <w:rFonts w:ascii="Arial" w:eastAsia="Times New Roman" w:hAnsi="Arial" w:cs="Arial"/>
          <w:b/>
          <w:bCs/>
          <w:color w:val="4F81BD"/>
          <w:sz w:val="24"/>
          <w:szCs w:val="24"/>
        </w:rPr>
      </w:pPr>
    </w:p>
    <w:p w:rsidR="00C220A3" w:rsidRPr="0008572D" w:rsidRDefault="00C220A3" w:rsidP="00C220A3">
      <w:pPr>
        <w:jc w:val="both"/>
        <w:rPr>
          <w:rFonts w:ascii="Arial" w:hAnsi="Arial" w:cs="Arial"/>
          <w:sz w:val="24"/>
          <w:szCs w:val="24"/>
        </w:rPr>
      </w:pPr>
      <w:r w:rsidRPr="0008572D">
        <w:rPr>
          <w:rFonts w:ascii="Arial" w:hAnsi="Arial" w:cs="Arial"/>
          <w:sz w:val="24"/>
          <w:szCs w:val="24"/>
        </w:rPr>
        <w:t>RMLO policies, procedures, and internal controls should be commensurate with the size and complexity of the company and based upon the risks associated with its products, type of customers</w:t>
      </w:r>
      <w:r w:rsidR="001A2568">
        <w:rPr>
          <w:rFonts w:ascii="Arial" w:hAnsi="Arial" w:cs="Arial"/>
          <w:sz w:val="24"/>
          <w:szCs w:val="24"/>
        </w:rPr>
        <w:t>,</w:t>
      </w:r>
      <w:r w:rsidRPr="0008572D">
        <w:rPr>
          <w:rFonts w:ascii="Arial" w:hAnsi="Arial" w:cs="Arial"/>
          <w:sz w:val="24"/>
          <w:szCs w:val="24"/>
        </w:rPr>
        <w:t xml:space="preserve"> and services provided.  Policies, procedures, and internal controls developed and implemented by an RMLO should include agents and brokers  obtain</w:t>
      </w:r>
      <w:r w:rsidR="001A2568">
        <w:rPr>
          <w:rFonts w:ascii="Arial" w:hAnsi="Arial" w:cs="Arial"/>
          <w:sz w:val="24"/>
          <w:szCs w:val="24"/>
        </w:rPr>
        <w:t>ing</w:t>
      </w:r>
      <w:r w:rsidRPr="0008572D">
        <w:rPr>
          <w:rFonts w:ascii="Arial" w:hAnsi="Arial" w:cs="Arial"/>
          <w:sz w:val="24"/>
          <w:szCs w:val="24"/>
        </w:rPr>
        <w:t xml:space="preserve">  all relevant customer-related information necessary for an effective BSA/AML program, as required by 31 CFR 1029.210.  </w:t>
      </w:r>
    </w:p>
    <w:p w:rsidR="00C220A3" w:rsidRPr="0008572D" w:rsidRDefault="00C220A3" w:rsidP="00C220A3">
      <w:pPr>
        <w:jc w:val="both"/>
        <w:rPr>
          <w:rFonts w:ascii="Arial" w:hAnsi="Arial" w:cs="Arial"/>
          <w:sz w:val="24"/>
          <w:szCs w:val="24"/>
        </w:rPr>
      </w:pPr>
      <w:r w:rsidRPr="0008572D">
        <w:rPr>
          <w:rFonts w:ascii="Arial" w:hAnsi="Arial" w:cs="Arial"/>
          <w:sz w:val="24"/>
          <w:szCs w:val="24"/>
        </w:rPr>
        <w:t>As such</w:t>
      </w:r>
      <w:r w:rsidR="001A2568">
        <w:rPr>
          <w:rFonts w:ascii="Arial" w:hAnsi="Arial" w:cs="Arial"/>
          <w:sz w:val="24"/>
          <w:szCs w:val="24"/>
        </w:rPr>
        <w:t>,</w:t>
      </w:r>
      <w:r w:rsidRPr="0008572D">
        <w:rPr>
          <w:rFonts w:ascii="Arial" w:hAnsi="Arial" w:cs="Arial"/>
          <w:sz w:val="24"/>
          <w:szCs w:val="24"/>
        </w:rPr>
        <w:t xml:space="preserve"> a best practice for the RMLO is to document the risk based process utilized to create the BSA/AML program. This document should be reviewed on a regular basis in order to update in a timely manner or as specific circumstances warrants, such as the addition of new products and/or services. The risk assessment needs to identify the company’s risk categories (i.e. products, services, customers, transactions, geographic locations) and provide a detailed analysis to assess the level of risk within each category. </w:t>
      </w:r>
    </w:p>
    <w:p w:rsidR="00C220A3" w:rsidRDefault="00C220A3" w:rsidP="00C220A3">
      <w:pPr>
        <w:jc w:val="both"/>
        <w:rPr>
          <w:rFonts w:ascii="Arial" w:hAnsi="Arial" w:cs="Arial"/>
          <w:sz w:val="24"/>
          <w:szCs w:val="24"/>
        </w:rPr>
      </w:pPr>
      <w:r w:rsidRPr="0008572D">
        <w:rPr>
          <w:rFonts w:ascii="Arial" w:hAnsi="Arial" w:cs="Arial"/>
          <w:sz w:val="24"/>
          <w:szCs w:val="24"/>
        </w:rPr>
        <w:t xml:space="preserve">As a result of this assessment, the BSA/AML program should be prepared with a complete profile of the RMLO’s operation.  Having these updates or periodic reviews in writing gives management an invaluable tool to amend policies and procedures.    At the same time, the risk assessment provides the first step to establish controls to mitigate those identified risks and to evaluate the adequacy of the internal controls established throughout the company.           </w:t>
      </w:r>
    </w:p>
    <w:p w:rsidR="0008572D" w:rsidRPr="0008572D" w:rsidRDefault="0008572D" w:rsidP="00C220A3">
      <w:pPr>
        <w:jc w:val="both"/>
        <w:rPr>
          <w:rFonts w:ascii="Arial" w:hAnsi="Arial" w:cs="Arial"/>
          <w:sz w:val="24"/>
          <w:szCs w:val="24"/>
        </w:rPr>
      </w:pPr>
    </w:p>
    <w:p w:rsidR="00C220A3" w:rsidRPr="0008572D" w:rsidRDefault="00C220A3" w:rsidP="00C220A3">
      <w:pPr>
        <w:pStyle w:val="Heading2"/>
        <w:rPr>
          <w:rFonts w:cs="Arial"/>
          <w:sz w:val="24"/>
          <w:szCs w:val="24"/>
        </w:rPr>
      </w:pPr>
      <w:bookmarkStart w:id="7" w:name="_Toc335314190"/>
      <w:r w:rsidRPr="0008572D">
        <w:rPr>
          <w:rFonts w:cs="Arial"/>
          <w:sz w:val="24"/>
          <w:szCs w:val="24"/>
        </w:rPr>
        <w:t>Designation of a Compliance Officer</w:t>
      </w:r>
      <w:bookmarkEnd w:id="7"/>
    </w:p>
    <w:p w:rsidR="00C220A3" w:rsidRPr="0008572D" w:rsidRDefault="00C220A3" w:rsidP="00C220A3">
      <w:pPr>
        <w:rPr>
          <w:rFonts w:ascii="Arial" w:hAnsi="Arial" w:cs="Arial"/>
          <w:b/>
          <w:sz w:val="24"/>
          <w:szCs w:val="24"/>
        </w:rPr>
      </w:pPr>
    </w:p>
    <w:p w:rsidR="00C220A3" w:rsidRPr="0008572D" w:rsidRDefault="00C220A3" w:rsidP="00C220A3">
      <w:pPr>
        <w:jc w:val="both"/>
        <w:rPr>
          <w:rFonts w:ascii="Arial" w:hAnsi="Arial" w:cs="Arial"/>
          <w:sz w:val="24"/>
          <w:szCs w:val="24"/>
        </w:rPr>
      </w:pPr>
      <w:r w:rsidRPr="0008572D">
        <w:rPr>
          <w:rFonts w:ascii="Arial" w:hAnsi="Arial" w:cs="Arial"/>
          <w:sz w:val="24"/>
          <w:szCs w:val="24"/>
        </w:rPr>
        <w:t xml:space="preserve">An RMLO must designate a Compliance Officer who is responsible for the effective implementation of the BSA/AML program. This BSA/AML program should include the regular monitoring for compliance by the company’s agents and brokers. However, senior management still retains ultimate responsibility to ensure that the RMLO is in compliance with the BSA requirements. </w:t>
      </w:r>
    </w:p>
    <w:p w:rsidR="00C220A3" w:rsidRPr="0008572D" w:rsidRDefault="00C220A3" w:rsidP="00C220A3">
      <w:pPr>
        <w:jc w:val="both"/>
        <w:rPr>
          <w:rFonts w:ascii="Arial" w:hAnsi="Arial" w:cs="Arial"/>
          <w:sz w:val="24"/>
          <w:szCs w:val="24"/>
        </w:rPr>
      </w:pPr>
      <w:r w:rsidRPr="0008572D">
        <w:rPr>
          <w:rFonts w:ascii="Arial" w:hAnsi="Arial" w:cs="Arial"/>
          <w:sz w:val="24"/>
          <w:szCs w:val="24"/>
        </w:rPr>
        <w:t>A designated compliance officer is responsible for ensuring that:</w:t>
      </w:r>
    </w:p>
    <w:p w:rsidR="00C220A3" w:rsidRPr="0008572D" w:rsidRDefault="00C220A3" w:rsidP="00C220A3">
      <w:pPr>
        <w:pStyle w:val="ListParagraph"/>
        <w:numPr>
          <w:ilvl w:val="0"/>
          <w:numId w:val="5"/>
        </w:numPr>
        <w:jc w:val="both"/>
        <w:rPr>
          <w:rFonts w:ascii="Arial" w:hAnsi="Arial" w:cs="Arial"/>
          <w:szCs w:val="24"/>
        </w:rPr>
      </w:pPr>
      <w:r w:rsidRPr="0008572D">
        <w:rPr>
          <w:rFonts w:ascii="Arial" w:hAnsi="Arial" w:cs="Arial"/>
          <w:szCs w:val="24"/>
        </w:rPr>
        <w:t xml:space="preserve">The anti-money laundering program is implemented effectively, including monitoring compliance by the company's agents and brokers with their </w:t>
      </w:r>
      <w:r w:rsidRPr="0008572D">
        <w:rPr>
          <w:rFonts w:ascii="Arial" w:hAnsi="Arial" w:cs="Arial"/>
          <w:szCs w:val="24"/>
        </w:rPr>
        <w:lastRenderedPageBreak/>
        <w:t>obligations under the program;</w:t>
      </w:r>
    </w:p>
    <w:p w:rsidR="00C220A3" w:rsidRPr="0008572D" w:rsidRDefault="00C220A3" w:rsidP="00C220A3">
      <w:pPr>
        <w:pStyle w:val="ListParagraph"/>
        <w:numPr>
          <w:ilvl w:val="0"/>
          <w:numId w:val="5"/>
        </w:numPr>
        <w:jc w:val="both"/>
        <w:rPr>
          <w:rFonts w:ascii="Arial" w:hAnsi="Arial" w:cs="Arial"/>
          <w:szCs w:val="24"/>
        </w:rPr>
      </w:pPr>
      <w:r w:rsidRPr="0008572D">
        <w:rPr>
          <w:rFonts w:ascii="Arial" w:hAnsi="Arial" w:cs="Arial"/>
          <w:szCs w:val="24"/>
        </w:rPr>
        <w:t>The anti-money laundering program is updated as necessary; and</w:t>
      </w:r>
    </w:p>
    <w:p w:rsidR="00C220A3" w:rsidRPr="0008572D" w:rsidRDefault="00C220A3" w:rsidP="00C220A3">
      <w:pPr>
        <w:pStyle w:val="ListParagraph"/>
        <w:numPr>
          <w:ilvl w:val="0"/>
          <w:numId w:val="5"/>
        </w:numPr>
        <w:jc w:val="both"/>
        <w:rPr>
          <w:rFonts w:ascii="Arial" w:hAnsi="Arial" w:cs="Arial"/>
          <w:szCs w:val="24"/>
        </w:rPr>
      </w:pPr>
      <w:r w:rsidRPr="0008572D">
        <w:rPr>
          <w:rFonts w:ascii="Arial" w:hAnsi="Arial" w:cs="Arial"/>
          <w:szCs w:val="24"/>
        </w:rPr>
        <w:t xml:space="preserve">Appropriate persons are educated and trained to implement and monitor for BSA compliance to the company’s BSA/AML program and reporting requirements. </w:t>
      </w:r>
    </w:p>
    <w:p w:rsidR="00C220A3" w:rsidRPr="0008572D" w:rsidRDefault="00C220A3" w:rsidP="00C220A3">
      <w:pPr>
        <w:jc w:val="both"/>
        <w:rPr>
          <w:rFonts w:ascii="Arial" w:hAnsi="Arial" w:cs="Arial"/>
          <w:sz w:val="24"/>
          <w:szCs w:val="24"/>
        </w:rPr>
      </w:pPr>
    </w:p>
    <w:p w:rsidR="00C220A3" w:rsidRPr="0008572D" w:rsidRDefault="00C220A3" w:rsidP="00C220A3">
      <w:pPr>
        <w:jc w:val="both"/>
        <w:rPr>
          <w:rFonts w:ascii="Arial" w:hAnsi="Arial" w:cs="Arial"/>
          <w:sz w:val="24"/>
          <w:szCs w:val="24"/>
        </w:rPr>
      </w:pPr>
      <w:r w:rsidRPr="0008572D">
        <w:rPr>
          <w:rFonts w:ascii="Arial" w:hAnsi="Arial" w:cs="Arial"/>
          <w:sz w:val="24"/>
          <w:szCs w:val="24"/>
        </w:rPr>
        <w:t>The BSA Compliance Officer can delegate BSA/AML duties to other personnel, but is responsible for the overall compliance of the program.  This BSA Compliance Officer is required to be fully knowledgeable of all mortgage related regulations.  Additionally, the officer should be knowledgeable on new regulations, and receive timely training relevant to BSA/AML duties.</w:t>
      </w:r>
    </w:p>
    <w:p w:rsidR="00C220A3" w:rsidRPr="0008572D" w:rsidRDefault="00C220A3" w:rsidP="00C220A3">
      <w:pPr>
        <w:jc w:val="both"/>
        <w:rPr>
          <w:rFonts w:ascii="Arial" w:hAnsi="Arial" w:cs="Arial"/>
          <w:color w:val="000000"/>
          <w:sz w:val="24"/>
          <w:szCs w:val="24"/>
        </w:rPr>
      </w:pPr>
      <w:r w:rsidRPr="0008572D">
        <w:rPr>
          <w:rFonts w:ascii="Arial" w:hAnsi="Arial" w:cs="Arial"/>
          <w:sz w:val="24"/>
          <w:szCs w:val="24"/>
        </w:rPr>
        <w:t xml:space="preserve">Senior Management </w:t>
      </w:r>
      <w:r w:rsidRPr="0008572D">
        <w:rPr>
          <w:rFonts w:ascii="Arial" w:hAnsi="Arial" w:cs="Arial"/>
          <w:color w:val="000000"/>
          <w:sz w:val="24"/>
          <w:szCs w:val="24"/>
        </w:rPr>
        <w:t xml:space="preserve">is responsible for ensuring that the BSA Compliance Officer has sufficient authority and resources (monetary, physical, and personnel) to administer an effective BSA/AML compliance program based on the company’s risk profile. </w:t>
      </w:r>
    </w:p>
    <w:p w:rsidR="00C220A3" w:rsidRPr="0008572D" w:rsidRDefault="00C220A3" w:rsidP="00C220A3">
      <w:pPr>
        <w:jc w:val="both"/>
        <w:rPr>
          <w:rFonts w:ascii="Arial" w:hAnsi="Arial" w:cs="Arial"/>
          <w:sz w:val="24"/>
          <w:szCs w:val="24"/>
        </w:rPr>
      </w:pPr>
      <w:r w:rsidRPr="0008572D">
        <w:rPr>
          <w:rFonts w:ascii="Arial" w:hAnsi="Arial" w:cs="Arial"/>
          <w:color w:val="000000"/>
          <w:sz w:val="24"/>
          <w:szCs w:val="24"/>
        </w:rPr>
        <w:t xml:space="preserve">The designation of a BSA Compliance Officer is not sufficient to meet the regulatory requirement if that person does not have the expertise, authority, or time to satisfactorily complete the job. </w:t>
      </w:r>
    </w:p>
    <w:p w:rsidR="00C220A3" w:rsidRPr="0008572D" w:rsidRDefault="00C220A3" w:rsidP="00C220A3">
      <w:pPr>
        <w:jc w:val="both"/>
        <w:rPr>
          <w:rFonts w:ascii="Arial" w:hAnsi="Arial" w:cs="Arial"/>
          <w:color w:val="000000"/>
          <w:sz w:val="24"/>
          <w:szCs w:val="24"/>
        </w:rPr>
      </w:pPr>
      <w:r w:rsidRPr="0008572D" w:rsidDel="00263D6C">
        <w:rPr>
          <w:rFonts w:ascii="Arial" w:hAnsi="Arial" w:cs="Arial"/>
          <w:color w:val="000000"/>
          <w:sz w:val="24"/>
          <w:szCs w:val="24"/>
        </w:rPr>
        <w:t xml:space="preserve">The line of communication should allow the BSA </w:t>
      </w:r>
      <w:r w:rsidRPr="0008572D">
        <w:rPr>
          <w:rFonts w:ascii="Arial" w:hAnsi="Arial" w:cs="Arial"/>
          <w:color w:val="000000"/>
          <w:sz w:val="24"/>
          <w:szCs w:val="24"/>
        </w:rPr>
        <w:t>C</w:t>
      </w:r>
      <w:r w:rsidRPr="0008572D" w:rsidDel="00263D6C">
        <w:rPr>
          <w:rFonts w:ascii="Arial" w:hAnsi="Arial" w:cs="Arial"/>
          <w:color w:val="000000"/>
          <w:sz w:val="24"/>
          <w:szCs w:val="24"/>
        </w:rPr>
        <w:t xml:space="preserve">ompliance </w:t>
      </w:r>
      <w:r w:rsidRPr="0008572D">
        <w:rPr>
          <w:rFonts w:ascii="Arial" w:hAnsi="Arial" w:cs="Arial"/>
          <w:color w:val="000000"/>
          <w:sz w:val="24"/>
          <w:szCs w:val="24"/>
        </w:rPr>
        <w:t>O</w:t>
      </w:r>
      <w:r w:rsidRPr="0008572D" w:rsidDel="00263D6C">
        <w:rPr>
          <w:rFonts w:ascii="Arial" w:hAnsi="Arial" w:cs="Arial"/>
          <w:color w:val="000000"/>
          <w:sz w:val="24"/>
          <w:szCs w:val="24"/>
        </w:rPr>
        <w:t>fficer to regularly apprise management of ongoing compliance with the BSA</w:t>
      </w:r>
      <w:r w:rsidRPr="0008572D">
        <w:rPr>
          <w:rFonts w:ascii="Arial" w:hAnsi="Arial" w:cs="Arial"/>
          <w:color w:val="000000"/>
          <w:sz w:val="24"/>
          <w:szCs w:val="24"/>
        </w:rPr>
        <w:t xml:space="preserve"> and p</w:t>
      </w:r>
      <w:r w:rsidRPr="0008572D" w:rsidDel="00263D6C">
        <w:rPr>
          <w:rFonts w:ascii="Arial" w:hAnsi="Arial" w:cs="Arial"/>
          <w:color w:val="000000"/>
          <w:sz w:val="24"/>
          <w:szCs w:val="24"/>
        </w:rPr>
        <w:t>ertinent BSA-related information</w:t>
      </w:r>
      <w:r w:rsidRPr="0008572D">
        <w:rPr>
          <w:rFonts w:ascii="Arial" w:hAnsi="Arial" w:cs="Arial"/>
          <w:color w:val="000000"/>
          <w:sz w:val="24"/>
          <w:szCs w:val="24"/>
        </w:rPr>
        <w:t xml:space="preserve">.  This includes </w:t>
      </w:r>
      <w:r w:rsidRPr="0008572D" w:rsidDel="00263D6C">
        <w:rPr>
          <w:rFonts w:ascii="Arial" w:hAnsi="Arial" w:cs="Arial"/>
          <w:color w:val="000000"/>
          <w:sz w:val="24"/>
          <w:szCs w:val="24"/>
        </w:rPr>
        <w:t>reporting SARs filed with FinCEN</w:t>
      </w:r>
      <w:r w:rsidRPr="0008572D">
        <w:rPr>
          <w:rFonts w:ascii="Arial" w:hAnsi="Arial" w:cs="Arial"/>
          <w:color w:val="000000"/>
          <w:sz w:val="24"/>
          <w:szCs w:val="24"/>
        </w:rPr>
        <w:t xml:space="preserve"> to senior management</w:t>
      </w:r>
      <w:r w:rsidRPr="0008572D" w:rsidDel="00263D6C">
        <w:rPr>
          <w:rFonts w:ascii="Arial" w:hAnsi="Arial" w:cs="Arial"/>
          <w:color w:val="000000"/>
          <w:sz w:val="24"/>
          <w:szCs w:val="24"/>
        </w:rPr>
        <w:t xml:space="preserve"> or an appropriate board committee so that these individuals can make informed decisions about overall BSA/AML compliance. </w:t>
      </w:r>
    </w:p>
    <w:p w:rsidR="0008572D" w:rsidRDefault="0008572D" w:rsidP="00C220A3">
      <w:pPr>
        <w:pStyle w:val="Heading2"/>
        <w:rPr>
          <w:rFonts w:cs="Arial"/>
          <w:sz w:val="24"/>
          <w:szCs w:val="24"/>
        </w:rPr>
      </w:pPr>
    </w:p>
    <w:p w:rsidR="00C220A3" w:rsidRPr="0008572D" w:rsidRDefault="00C220A3" w:rsidP="00C220A3">
      <w:pPr>
        <w:pStyle w:val="Heading2"/>
        <w:rPr>
          <w:rFonts w:cs="Arial"/>
          <w:sz w:val="24"/>
          <w:szCs w:val="24"/>
        </w:rPr>
      </w:pPr>
      <w:bookmarkStart w:id="8" w:name="_Toc335314191"/>
      <w:r w:rsidRPr="0008572D">
        <w:rPr>
          <w:rFonts w:cs="Arial"/>
          <w:sz w:val="24"/>
          <w:szCs w:val="24"/>
        </w:rPr>
        <w:t>Training</w:t>
      </w:r>
      <w:bookmarkEnd w:id="8"/>
    </w:p>
    <w:p w:rsidR="00C220A3" w:rsidRPr="0008572D" w:rsidRDefault="00C220A3" w:rsidP="00C220A3">
      <w:pPr>
        <w:rPr>
          <w:rFonts w:ascii="Arial" w:hAnsi="Arial" w:cs="Arial"/>
          <w:b/>
          <w:sz w:val="24"/>
          <w:szCs w:val="24"/>
        </w:rPr>
      </w:pPr>
    </w:p>
    <w:p w:rsidR="00C220A3" w:rsidRPr="0008572D" w:rsidRDefault="00C220A3" w:rsidP="00C220A3">
      <w:pPr>
        <w:pStyle w:val="CM147"/>
        <w:spacing w:after="205" w:line="276" w:lineRule="atLeast"/>
        <w:ind w:right="102"/>
        <w:jc w:val="both"/>
        <w:rPr>
          <w:rFonts w:ascii="Arial" w:hAnsi="Arial" w:cs="Arial"/>
          <w:color w:val="000000"/>
        </w:rPr>
      </w:pPr>
      <w:r w:rsidRPr="0008572D">
        <w:rPr>
          <w:rFonts w:ascii="Arial" w:hAnsi="Arial" w:cs="Arial"/>
          <w:color w:val="000000"/>
        </w:rPr>
        <w:t xml:space="preserve">The RMLO must ensure that appropriate personnel are trained in BSA/AML for their respective roles in the company.   Training should include regulatory requirements and the company’s internal BSA/AML policies, procedures, and processes. At a minimum, the RMLO’s training program must provide training for all personnel whose duties require knowledge of the BSA/AML and in all products and services identified in the risk assessment. The training should be tailored to the person’s specific responsibilities. In addition, an overview of the BSA/AML requirements typically should be given to new staff during employee orientation. </w:t>
      </w:r>
    </w:p>
    <w:p w:rsidR="00C220A3" w:rsidRPr="0008572D" w:rsidRDefault="00C220A3" w:rsidP="00C220A3">
      <w:pPr>
        <w:pStyle w:val="CM147"/>
        <w:spacing w:after="205" w:line="276" w:lineRule="atLeast"/>
        <w:ind w:right="102"/>
        <w:jc w:val="both"/>
        <w:rPr>
          <w:rFonts w:ascii="Arial" w:hAnsi="Arial" w:cs="Arial"/>
          <w:color w:val="000000"/>
        </w:rPr>
      </w:pPr>
      <w:r w:rsidRPr="0008572D">
        <w:rPr>
          <w:rFonts w:ascii="Arial" w:hAnsi="Arial" w:cs="Arial"/>
          <w:color w:val="000000"/>
        </w:rPr>
        <w:t xml:space="preserve">The BSA Compliance Officer should receive periodic training that is relevant and appropriate given changes to regulatory requirements as well as the activities and overall BSA/AML risk profile of the </w:t>
      </w:r>
      <w:r w:rsidRPr="0008572D">
        <w:rPr>
          <w:rFonts w:ascii="Arial" w:hAnsi="Arial" w:cs="Arial"/>
        </w:rPr>
        <w:t>business activity</w:t>
      </w:r>
      <w:r w:rsidRPr="0008572D">
        <w:rPr>
          <w:rFonts w:ascii="Arial" w:hAnsi="Arial" w:cs="Arial"/>
          <w:color w:val="000000"/>
        </w:rPr>
        <w:t>. Training should be conducted in accordance with the companies’ policy and procedures manual.  A good practice is for the RMLO to conduct training on an annual basis.</w:t>
      </w:r>
    </w:p>
    <w:p w:rsidR="00C220A3" w:rsidRPr="0008572D" w:rsidRDefault="00C220A3" w:rsidP="00C220A3">
      <w:pPr>
        <w:pStyle w:val="CM147"/>
        <w:spacing w:after="205" w:line="276" w:lineRule="atLeast"/>
        <w:ind w:right="230"/>
        <w:jc w:val="both"/>
        <w:rPr>
          <w:rFonts w:ascii="Arial" w:hAnsi="Arial" w:cs="Arial"/>
          <w:color w:val="000000"/>
        </w:rPr>
      </w:pPr>
      <w:r w:rsidRPr="0008572D">
        <w:rPr>
          <w:rFonts w:ascii="Arial" w:hAnsi="Arial" w:cs="Arial"/>
          <w:color w:val="000000"/>
        </w:rPr>
        <w:lastRenderedPageBreak/>
        <w:t>Training should be ongoing and incorporate current developments and changes to the BSA and any related regulations. Changes to internal policies, procedures, processes, and monitoring systems should also be covered during training. The training program should reinforce the importance of</w:t>
      </w:r>
      <w:r w:rsidR="00CB106E">
        <w:rPr>
          <w:rFonts w:ascii="Arial" w:hAnsi="Arial" w:cs="Arial"/>
          <w:color w:val="000000"/>
        </w:rPr>
        <w:t xml:space="preserve"> the</w:t>
      </w:r>
      <w:r w:rsidRPr="0008572D">
        <w:rPr>
          <w:rFonts w:ascii="Arial" w:hAnsi="Arial" w:cs="Arial"/>
          <w:color w:val="000000"/>
        </w:rPr>
        <w:t xml:space="preserve"> BSA/AML compliance program and ensure that all employees understand their role in maintaining an effective program.</w:t>
      </w:r>
    </w:p>
    <w:p w:rsidR="00C220A3" w:rsidRPr="0008572D" w:rsidRDefault="00C220A3" w:rsidP="00C220A3">
      <w:pPr>
        <w:jc w:val="both"/>
        <w:rPr>
          <w:rFonts w:ascii="Arial" w:hAnsi="Arial" w:cs="Arial"/>
          <w:color w:val="000000"/>
          <w:sz w:val="24"/>
          <w:szCs w:val="24"/>
        </w:rPr>
      </w:pPr>
      <w:r w:rsidRPr="0008572D">
        <w:rPr>
          <w:rFonts w:ascii="Arial" w:hAnsi="Arial" w:cs="Arial"/>
          <w:color w:val="000000"/>
          <w:sz w:val="24"/>
          <w:szCs w:val="24"/>
        </w:rPr>
        <w:t xml:space="preserve">Management should be informed of changes and new developments in the BSA, its implementing regulations and directives. </w:t>
      </w:r>
      <w:r w:rsidR="00CA6276">
        <w:rPr>
          <w:rFonts w:ascii="Arial" w:hAnsi="Arial" w:cs="Arial"/>
          <w:color w:val="000000"/>
          <w:sz w:val="24"/>
          <w:szCs w:val="24"/>
        </w:rPr>
        <w:t>If applicable, w</w:t>
      </w:r>
      <w:r w:rsidRPr="0008572D">
        <w:rPr>
          <w:rFonts w:ascii="Arial" w:hAnsi="Arial" w:cs="Arial"/>
          <w:color w:val="000000"/>
          <w:sz w:val="24"/>
          <w:szCs w:val="24"/>
        </w:rPr>
        <w:t xml:space="preserve">hile the board of directors may not require the same degree of training as RMLO personnel, they need to understand the importance of BSA/AML regulatory requirements, the ramifications of noncompliance, and the risks posed to the RMLO. </w:t>
      </w:r>
    </w:p>
    <w:p w:rsidR="00C220A3" w:rsidRPr="0008572D" w:rsidRDefault="00C220A3" w:rsidP="00C220A3">
      <w:pPr>
        <w:jc w:val="both"/>
        <w:rPr>
          <w:rFonts w:ascii="Arial" w:hAnsi="Arial" w:cs="Arial"/>
          <w:color w:val="000000"/>
          <w:sz w:val="24"/>
          <w:szCs w:val="24"/>
        </w:rPr>
      </w:pPr>
      <w:r w:rsidRPr="0008572D">
        <w:rPr>
          <w:rFonts w:ascii="Arial" w:hAnsi="Arial" w:cs="Arial"/>
          <w:color w:val="000000"/>
          <w:sz w:val="24"/>
          <w:szCs w:val="24"/>
        </w:rPr>
        <w:t>Without a general understanding of the BSA, senior management cannot adequately provide BSA/AML oversight</w:t>
      </w:r>
      <w:r w:rsidR="00CB106E">
        <w:rPr>
          <w:rFonts w:ascii="Arial" w:hAnsi="Arial" w:cs="Arial"/>
          <w:color w:val="000000"/>
          <w:sz w:val="24"/>
          <w:szCs w:val="24"/>
        </w:rPr>
        <w:t>,</w:t>
      </w:r>
      <w:r w:rsidRPr="0008572D">
        <w:rPr>
          <w:rFonts w:ascii="Arial" w:hAnsi="Arial" w:cs="Arial"/>
          <w:color w:val="000000"/>
          <w:sz w:val="24"/>
          <w:szCs w:val="24"/>
        </w:rPr>
        <w:t xml:space="preserve"> approve BSA/AML policies, procedures, and processes, or provide sufficient BSA/AML resources. </w:t>
      </w:r>
    </w:p>
    <w:p w:rsidR="0008572D" w:rsidRDefault="00C220A3" w:rsidP="00CB106E">
      <w:pPr>
        <w:pStyle w:val="CM1"/>
        <w:jc w:val="both"/>
        <w:rPr>
          <w:rFonts w:ascii="Arial" w:hAnsi="Arial" w:cs="Arial"/>
          <w:color w:val="000000"/>
        </w:rPr>
      </w:pPr>
      <w:r w:rsidRPr="0008572D">
        <w:rPr>
          <w:rFonts w:ascii="Arial" w:hAnsi="Arial" w:cs="Arial"/>
          <w:color w:val="000000"/>
        </w:rPr>
        <w:t xml:space="preserve">The RMLO should document their training programs. Training and testing materials, the dates of training sessions, and attendance records should be maintained by the company and be available for examiner review. </w:t>
      </w:r>
    </w:p>
    <w:p w:rsidR="00CA6276" w:rsidRPr="00CA6276" w:rsidRDefault="00CA6276" w:rsidP="007279F4"/>
    <w:p w:rsidR="00C220A3" w:rsidRDefault="00C220A3" w:rsidP="00C220A3">
      <w:pPr>
        <w:jc w:val="both"/>
        <w:rPr>
          <w:rFonts w:ascii="Arial" w:hAnsi="Arial" w:cs="Arial"/>
          <w:sz w:val="24"/>
          <w:szCs w:val="24"/>
        </w:rPr>
      </w:pPr>
      <w:r w:rsidRPr="0008572D">
        <w:rPr>
          <w:rFonts w:ascii="Arial" w:hAnsi="Arial" w:cs="Arial"/>
          <w:sz w:val="24"/>
          <w:szCs w:val="24"/>
        </w:rPr>
        <w:t>An RMLO may satisfy this requirement with respect to its employees, agents, and brokers by directly training such persons or verifying that such persons have received training by a competent third party with respect to the products and services offered by the RMLO.</w:t>
      </w:r>
    </w:p>
    <w:p w:rsidR="0008572D" w:rsidRPr="0008572D" w:rsidRDefault="0008572D" w:rsidP="00C220A3">
      <w:pPr>
        <w:jc w:val="both"/>
        <w:rPr>
          <w:rFonts w:ascii="Arial" w:hAnsi="Arial" w:cs="Arial"/>
          <w:sz w:val="24"/>
          <w:szCs w:val="24"/>
        </w:rPr>
      </w:pPr>
    </w:p>
    <w:p w:rsidR="00C220A3" w:rsidRPr="0008572D" w:rsidRDefault="00C220A3" w:rsidP="00C220A3">
      <w:pPr>
        <w:pStyle w:val="Heading2"/>
        <w:rPr>
          <w:rFonts w:cs="Arial"/>
          <w:sz w:val="24"/>
          <w:szCs w:val="24"/>
        </w:rPr>
      </w:pPr>
      <w:bookmarkStart w:id="9" w:name="_Toc335314192"/>
      <w:r w:rsidRPr="0008572D">
        <w:rPr>
          <w:rFonts w:cs="Arial"/>
          <w:sz w:val="24"/>
          <w:szCs w:val="24"/>
        </w:rPr>
        <w:t>Independent Testing</w:t>
      </w:r>
      <w:bookmarkEnd w:id="9"/>
    </w:p>
    <w:p w:rsidR="00C220A3" w:rsidRPr="0008572D" w:rsidRDefault="00C220A3" w:rsidP="00C220A3">
      <w:pPr>
        <w:rPr>
          <w:rFonts w:ascii="Arial" w:hAnsi="Arial" w:cs="Arial"/>
          <w:b/>
          <w:sz w:val="24"/>
          <w:szCs w:val="24"/>
        </w:rPr>
      </w:pPr>
    </w:p>
    <w:p w:rsidR="00C220A3" w:rsidRPr="0008572D" w:rsidRDefault="00C220A3" w:rsidP="00C220A3">
      <w:pPr>
        <w:pStyle w:val="CM147"/>
        <w:spacing w:after="205" w:line="276" w:lineRule="atLeast"/>
        <w:jc w:val="both"/>
        <w:rPr>
          <w:rFonts w:ascii="Arial" w:hAnsi="Arial" w:cs="Arial"/>
          <w:color w:val="000000"/>
        </w:rPr>
      </w:pPr>
      <w:r w:rsidRPr="0008572D">
        <w:rPr>
          <w:rFonts w:ascii="Arial" w:hAnsi="Arial" w:cs="Arial"/>
          <w:color w:val="000000"/>
        </w:rPr>
        <w:t xml:space="preserve">An independent testing or audit should be conducted by the internal audit department, outside auditors, consultants, or other qualified independent parties. </w:t>
      </w:r>
      <w:r w:rsidRPr="0008572D">
        <w:rPr>
          <w:rFonts w:ascii="Arial" w:hAnsi="Arial" w:cs="Arial"/>
        </w:rPr>
        <w:t xml:space="preserve">Such testing may be conducted by a third party or by any officer or employee of the RMLO so long as it is not the person designated as the Compliance Officer or an individual who reports to the Compliance Officer. </w:t>
      </w:r>
      <w:r w:rsidRPr="0008572D">
        <w:rPr>
          <w:rFonts w:ascii="Arial" w:hAnsi="Arial" w:cs="Arial"/>
          <w:color w:val="000000"/>
        </w:rPr>
        <w:t xml:space="preserve">While there is no specific frequency of audit, it is a good practice to conduct an independent testing that is commensurate with the BSA/AML risk profile of the company, including agents. </w:t>
      </w:r>
      <w:r w:rsidRPr="0008572D">
        <w:rPr>
          <w:rFonts w:ascii="Arial" w:hAnsi="Arial" w:cs="Arial"/>
        </w:rPr>
        <w:t xml:space="preserve">The independent testing is to determine whether the RMLO </w:t>
      </w:r>
      <w:r w:rsidR="00587D9A">
        <w:rPr>
          <w:rFonts w:ascii="Arial" w:hAnsi="Arial" w:cs="Arial"/>
        </w:rPr>
        <w:t>is</w:t>
      </w:r>
      <w:r w:rsidR="00587D9A" w:rsidRPr="0008572D">
        <w:rPr>
          <w:rFonts w:ascii="Arial" w:hAnsi="Arial" w:cs="Arial"/>
        </w:rPr>
        <w:t xml:space="preserve"> </w:t>
      </w:r>
      <w:r w:rsidRPr="0008572D">
        <w:rPr>
          <w:rFonts w:ascii="Arial" w:hAnsi="Arial" w:cs="Arial"/>
        </w:rPr>
        <w:t>operating within compliance with the BSA/AML requirements and its own policies and procedures.</w:t>
      </w:r>
    </w:p>
    <w:p w:rsidR="00C220A3" w:rsidRPr="0008572D" w:rsidRDefault="00C220A3" w:rsidP="00C220A3">
      <w:pPr>
        <w:pStyle w:val="CM147"/>
        <w:spacing w:after="205" w:line="276" w:lineRule="atLeast"/>
        <w:jc w:val="both"/>
        <w:rPr>
          <w:rFonts w:ascii="Arial" w:hAnsi="Arial" w:cs="Arial"/>
          <w:color w:val="000000"/>
        </w:rPr>
      </w:pPr>
      <w:r w:rsidRPr="0008572D">
        <w:rPr>
          <w:rFonts w:ascii="Arial" w:hAnsi="Arial" w:cs="Arial"/>
          <w:color w:val="000000"/>
        </w:rPr>
        <w:t xml:space="preserve">Those persons responsible for conducting an objective independent evaluation of the written BSA/AML compliance program should perform testing for specific compliance with BSA/AML, and evaluate pertinent management information systems (MIS).  Risk-based audit programs will vary depending on the company’s size, complexity, scope of </w:t>
      </w:r>
      <w:r w:rsidRPr="0008572D">
        <w:rPr>
          <w:rFonts w:ascii="Arial" w:hAnsi="Arial" w:cs="Arial"/>
          <w:color w:val="000000"/>
        </w:rPr>
        <w:lastRenderedPageBreak/>
        <w:t>activities, risk profile, quality of control functions, geographic diversity, and use of technology.  The frequency and depth of each activity’s audit will vary according to the activity’s risk assessment. Risk-based auditing enable</w:t>
      </w:r>
      <w:r w:rsidR="00CB106E">
        <w:rPr>
          <w:rFonts w:ascii="Arial" w:hAnsi="Arial" w:cs="Arial"/>
          <w:color w:val="000000"/>
        </w:rPr>
        <w:t>s</w:t>
      </w:r>
      <w:r w:rsidRPr="0008572D">
        <w:rPr>
          <w:rFonts w:ascii="Arial" w:hAnsi="Arial" w:cs="Arial"/>
          <w:color w:val="000000"/>
        </w:rPr>
        <w:t xml:space="preserve"> auditors to use the company’s risk assessment to focus the audit scope on the areas of greatest concern. The testing should assist management in identifying areas of weakness or areas where there is a need for enhancements or stronger controls. </w:t>
      </w:r>
    </w:p>
    <w:p w:rsidR="00C220A3" w:rsidRDefault="00C220A3" w:rsidP="00C220A3">
      <w:pPr>
        <w:jc w:val="both"/>
        <w:rPr>
          <w:rFonts w:ascii="Arial" w:hAnsi="Arial" w:cs="Arial"/>
          <w:sz w:val="24"/>
          <w:szCs w:val="24"/>
        </w:rPr>
      </w:pPr>
      <w:r w:rsidRPr="0008572D">
        <w:rPr>
          <w:rFonts w:ascii="Arial" w:hAnsi="Arial" w:cs="Arial"/>
          <w:sz w:val="24"/>
          <w:szCs w:val="24"/>
        </w:rPr>
        <w:t xml:space="preserve">The review should occur as described in the RMLO’s BSA/AML program.   The review should be documented by the person or persons conducting the review.  The scope of the review, procedures performed, transactions tested, and any findings should be documented.  </w:t>
      </w:r>
    </w:p>
    <w:p w:rsidR="0008572D" w:rsidRPr="0008572D" w:rsidRDefault="0008572D" w:rsidP="00C220A3">
      <w:pPr>
        <w:jc w:val="both"/>
        <w:rPr>
          <w:rFonts w:ascii="Arial" w:hAnsi="Arial" w:cs="Arial"/>
          <w:b/>
          <w:sz w:val="24"/>
          <w:szCs w:val="24"/>
        </w:rPr>
      </w:pPr>
    </w:p>
    <w:p w:rsidR="00C220A3" w:rsidRPr="0008572D" w:rsidRDefault="00C220A3" w:rsidP="00C220A3">
      <w:pPr>
        <w:pStyle w:val="Heading2"/>
        <w:rPr>
          <w:rFonts w:cs="Arial"/>
          <w:sz w:val="24"/>
          <w:szCs w:val="24"/>
        </w:rPr>
      </w:pPr>
      <w:bookmarkStart w:id="10" w:name="_Toc335314193"/>
      <w:r w:rsidRPr="0008572D">
        <w:rPr>
          <w:rFonts w:cs="Arial"/>
          <w:sz w:val="24"/>
          <w:szCs w:val="24"/>
        </w:rPr>
        <w:t xml:space="preserve">Examination Objectives </w:t>
      </w:r>
      <w:r w:rsidR="002B24D3">
        <w:rPr>
          <w:rFonts w:cs="Arial"/>
          <w:sz w:val="24"/>
          <w:szCs w:val="24"/>
        </w:rPr>
        <w:t>and Procedures</w:t>
      </w:r>
      <w:bookmarkEnd w:id="10"/>
    </w:p>
    <w:p w:rsidR="00C220A3" w:rsidRPr="0008572D" w:rsidRDefault="00C220A3" w:rsidP="00C220A3">
      <w:pPr>
        <w:rPr>
          <w:rFonts w:ascii="Arial" w:hAnsi="Arial" w:cs="Arial"/>
          <w:b/>
          <w:sz w:val="24"/>
          <w:szCs w:val="24"/>
        </w:rPr>
      </w:pPr>
    </w:p>
    <w:p w:rsidR="00C220A3" w:rsidRDefault="00C220A3" w:rsidP="00C220A3">
      <w:pPr>
        <w:jc w:val="both"/>
        <w:rPr>
          <w:rFonts w:ascii="Arial" w:hAnsi="Arial" w:cs="Arial"/>
          <w:sz w:val="24"/>
          <w:szCs w:val="24"/>
        </w:rPr>
      </w:pPr>
      <w:r w:rsidRPr="0008572D">
        <w:rPr>
          <w:rFonts w:ascii="Arial" w:hAnsi="Arial" w:cs="Arial"/>
          <w:sz w:val="24"/>
          <w:szCs w:val="24"/>
        </w:rPr>
        <w:t>Determine that internal controls, policies</w:t>
      </w:r>
      <w:r w:rsidR="00FF09C5">
        <w:rPr>
          <w:rFonts w:ascii="Arial" w:hAnsi="Arial" w:cs="Arial"/>
          <w:sz w:val="24"/>
          <w:szCs w:val="24"/>
        </w:rPr>
        <w:t>,</w:t>
      </w:r>
      <w:r w:rsidRPr="0008572D">
        <w:rPr>
          <w:rFonts w:ascii="Arial" w:hAnsi="Arial" w:cs="Arial"/>
          <w:sz w:val="24"/>
          <w:szCs w:val="24"/>
        </w:rPr>
        <w:t xml:space="preserve"> and procedures have been established, well implemented and provide adequate compliance with BSA/AML regulations and fraud prevention procedures.</w:t>
      </w:r>
    </w:p>
    <w:p w:rsidR="00C3748E" w:rsidRDefault="00C3748E" w:rsidP="001657F3">
      <w:pPr>
        <w:spacing w:after="0" w:line="240" w:lineRule="auto"/>
        <w:jc w:val="both"/>
        <w:rPr>
          <w:rFonts w:ascii="Arial" w:hAnsi="Arial" w:cs="Arial"/>
          <w:i/>
          <w:sz w:val="24"/>
          <w:szCs w:val="24"/>
        </w:rPr>
      </w:pPr>
    </w:p>
    <w:p w:rsidR="00C3748E" w:rsidRDefault="00C3748E" w:rsidP="001657F3">
      <w:pPr>
        <w:spacing w:after="0" w:line="240" w:lineRule="auto"/>
        <w:jc w:val="both"/>
        <w:rPr>
          <w:rFonts w:ascii="Arial" w:hAnsi="Arial" w:cs="Arial"/>
          <w:i/>
          <w:sz w:val="24"/>
          <w:szCs w:val="24"/>
        </w:rPr>
      </w:pPr>
    </w:p>
    <w:p w:rsidR="001657F3" w:rsidRPr="001657F3" w:rsidRDefault="001657F3" w:rsidP="001657F3">
      <w:pPr>
        <w:spacing w:after="0" w:line="240" w:lineRule="auto"/>
        <w:jc w:val="both"/>
        <w:rPr>
          <w:rFonts w:ascii="Arial" w:hAnsi="Arial" w:cs="Arial"/>
          <w:i/>
          <w:sz w:val="24"/>
          <w:szCs w:val="24"/>
        </w:rPr>
      </w:pPr>
      <w:r w:rsidRPr="001657F3">
        <w:rPr>
          <w:rFonts w:ascii="Arial" w:hAnsi="Arial" w:cs="Arial"/>
          <w:i/>
          <w:sz w:val="24"/>
          <w:szCs w:val="24"/>
        </w:rPr>
        <w:t xml:space="preserve">Anti-Money Laundering </w:t>
      </w:r>
      <w:r>
        <w:rPr>
          <w:rFonts w:ascii="Arial" w:hAnsi="Arial" w:cs="Arial"/>
          <w:i/>
          <w:sz w:val="24"/>
          <w:szCs w:val="24"/>
        </w:rPr>
        <w:t xml:space="preserve">Program </w:t>
      </w:r>
      <w:r w:rsidRPr="001657F3">
        <w:rPr>
          <w:rFonts w:ascii="Arial" w:hAnsi="Arial" w:cs="Arial"/>
          <w:i/>
          <w:sz w:val="24"/>
          <w:szCs w:val="24"/>
        </w:rPr>
        <w:t>Exam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3727"/>
        <w:gridCol w:w="389"/>
        <w:gridCol w:w="390"/>
        <w:gridCol w:w="4431"/>
      </w:tblGrid>
      <w:tr w:rsidR="0015383E" w:rsidRPr="00CA6276" w:rsidTr="00FC1DFC">
        <w:tc>
          <w:tcPr>
            <w:tcW w:w="639" w:type="dxa"/>
            <w:shd w:val="clear" w:color="auto" w:fill="B8CCE4"/>
          </w:tcPr>
          <w:p w:rsidR="0015383E" w:rsidRPr="00CA6276" w:rsidRDefault="0015383E" w:rsidP="001657F3">
            <w:pPr>
              <w:spacing w:after="0"/>
              <w:rPr>
                <w:rFonts w:ascii="Arial" w:hAnsi="Arial" w:cs="Arial"/>
                <w:sz w:val="24"/>
                <w:szCs w:val="24"/>
              </w:rPr>
            </w:pPr>
          </w:p>
        </w:tc>
        <w:tc>
          <w:tcPr>
            <w:tcW w:w="3727" w:type="dxa"/>
            <w:shd w:val="clear" w:color="auto" w:fill="B8CCE4"/>
          </w:tcPr>
          <w:p w:rsidR="0015383E" w:rsidRPr="00CA6276" w:rsidRDefault="0015383E" w:rsidP="001657F3">
            <w:pPr>
              <w:spacing w:after="0"/>
              <w:rPr>
                <w:rFonts w:ascii="Arial" w:hAnsi="Arial" w:cs="Arial"/>
                <w:sz w:val="24"/>
                <w:szCs w:val="24"/>
              </w:rPr>
            </w:pPr>
          </w:p>
          <w:p w:rsidR="0015383E" w:rsidRPr="00CA6276" w:rsidRDefault="0015383E" w:rsidP="001657F3">
            <w:pPr>
              <w:spacing w:after="0"/>
              <w:rPr>
                <w:rFonts w:ascii="Arial" w:hAnsi="Arial" w:cs="Arial"/>
                <w:sz w:val="24"/>
                <w:szCs w:val="24"/>
              </w:rPr>
            </w:pPr>
            <w:r w:rsidRPr="00CA6276">
              <w:rPr>
                <w:rFonts w:ascii="Arial" w:hAnsi="Arial" w:cs="Arial"/>
                <w:sz w:val="24"/>
                <w:szCs w:val="24"/>
              </w:rPr>
              <w:t>Examination Procedures</w:t>
            </w:r>
          </w:p>
        </w:tc>
        <w:tc>
          <w:tcPr>
            <w:tcW w:w="389" w:type="dxa"/>
            <w:shd w:val="clear" w:color="auto" w:fill="B8CCE4"/>
          </w:tcPr>
          <w:p w:rsidR="0015383E" w:rsidRPr="00CA6276" w:rsidRDefault="0015383E" w:rsidP="001657F3">
            <w:pPr>
              <w:spacing w:after="0"/>
              <w:rPr>
                <w:rFonts w:ascii="Arial" w:hAnsi="Arial" w:cs="Arial"/>
                <w:sz w:val="24"/>
                <w:szCs w:val="24"/>
              </w:rPr>
            </w:pPr>
          </w:p>
          <w:p w:rsidR="0015383E" w:rsidRPr="00CA6276" w:rsidRDefault="0015383E" w:rsidP="001657F3">
            <w:pPr>
              <w:spacing w:after="0"/>
              <w:rPr>
                <w:rFonts w:ascii="Arial" w:hAnsi="Arial" w:cs="Arial"/>
                <w:sz w:val="24"/>
                <w:szCs w:val="24"/>
              </w:rPr>
            </w:pPr>
            <w:r w:rsidRPr="00CA6276">
              <w:rPr>
                <w:rFonts w:ascii="Arial" w:hAnsi="Arial" w:cs="Arial"/>
                <w:sz w:val="24"/>
                <w:szCs w:val="24"/>
              </w:rPr>
              <w:t>Y</w:t>
            </w:r>
          </w:p>
        </w:tc>
        <w:tc>
          <w:tcPr>
            <w:tcW w:w="390" w:type="dxa"/>
            <w:shd w:val="clear" w:color="auto" w:fill="B8CCE4"/>
          </w:tcPr>
          <w:p w:rsidR="0015383E" w:rsidRPr="00CA6276" w:rsidRDefault="0015383E" w:rsidP="001657F3">
            <w:pPr>
              <w:spacing w:after="0"/>
              <w:rPr>
                <w:rFonts w:ascii="Arial" w:hAnsi="Arial" w:cs="Arial"/>
                <w:sz w:val="24"/>
                <w:szCs w:val="24"/>
              </w:rPr>
            </w:pPr>
          </w:p>
          <w:p w:rsidR="0015383E" w:rsidRPr="00CA6276" w:rsidRDefault="0015383E" w:rsidP="001657F3">
            <w:pPr>
              <w:spacing w:after="0"/>
              <w:rPr>
                <w:rFonts w:ascii="Arial" w:hAnsi="Arial" w:cs="Arial"/>
                <w:sz w:val="24"/>
                <w:szCs w:val="24"/>
              </w:rPr>
            </w:pPr>
            <w:r w:rsidRPr="00CA6276">
              <w:rPr>
                <w:rFonts w:ascii="Arial" w:hAnsi="Arial" w:cs="Arial"/>
                <w:sz w:val="24"/>
                <w:szCs w:val="24"/>
              </w:rPr>
              <w:t>N</w:t>
            </w:r>
          </w:p>
        </w:tc>
        <w:tc>
          <w:tcPr>
            <w:tcW w:w="4431" w:type="dxa"/>
            <w:shd w:val="clear" w:color="auto" w:fill="B8CCE4"/>
          </w:tcPr>
          <w:p w:rsidR="0015383E" w:rsidRPr="00CA6276" w:rsidRDefault="0015383E" w:rsidP="001657F3">
            <w:pPr>
              <w:spacing w:after="0"/>
              <w:rPr>
                <w:rFonts w:ascii="Arial" w:hAnsi="Arial" w:cs="Arial"/>
                <w:sz w:val="24"/>
                <w:szCs w:val="24"/>
              </w:rPr>
            </w:pPr>
            <w:r w:rsidRPr="00CA6276">
              <w:rPr>
                <w:rFonts w:ascii="Arial" w:hAnsi="Arial" w:cs="Arial"/>
                <w:sz w:val="24"/>
                <w:szCs w:val="24"/>
              </w:rPr>
              <w:t xml:space="preserve">Examiner Notes [Document supporting evidence and note determinations and findings made] </w:t>
            </w:r>
          </w:p>
        </w:tc>
      </w:tr>
      <w:tr w:rsidR="0015383E" w:rsidRPr="00CA6276" w:rsidTr="00C3748E">
        <w:tc>
          <w:tcPr>
            <w:tcW w:w="9576" w:type="dxa"/>
            <w:gridSpan w:val="5"/>
            <w:shd w:val="clear" w:color="auto" w:fill="D9D9D9"/>
          </w:tcPr>
          <w:p w:rsidR="0015383E" w:rsidRPr="00CA6276" w:rsidRDefault="0015383E" w:rsidP="001657F3">
            <w:pPr>
              <w:spacing w:after="0"/>
              <w:rPr>
                <w:rFonts w:ascii="Arial" w:hAnsi="Arial" w:cs="Arial"/>
                <w:b/>
                <w:sz w:val="24"/>
                <w:szCs w:val="24"/>
              </w:rPr>
            </w:pPr>
            <w:r w:rsidRPr="00CA6276">
              <w:rPr>
                <w:rFonts w:ascii="Arial" w:hAnsi="Arial" w:cs="Arial"/>
                <w:b/>
                <w:sz w:val="24"/>
                <w:szCs w:val="24"/>
              </w:rPr>
              <w:t>Scope and Planning</w:t>
            </w:r>
          </w:p>
        </w:tc>
      </w:tr>
      <w:tr w:rsidR="0015383E" w:rsidRPr="00CA6276" w:rsidTr="00C3748E">
        <w:tc>
          <w:tcPr>
            <w:tcW w:w="639" w:type="dxa"/>
          </w:tcPr>
          <w:p w:rsidR="0015383E" w:rsidRPr="00CA6276" w:rsidRDefault="0015383E" w:rsidP="001657F3">
            <w:pPr>
              <w:spacing w:after="0"/>
              <w:rPr>
                <w:rFonts w:ascii="Arial" w:hAnsi="Arial" w:cs="Arial"/>
                <w:sz w:val="24"/>
                <w:szCs w:val="24"/>
              </w:rPr>
            </w:pPr>
            <w:r w:rsidRPr="00CA6276">
              <w:rPr>
                <w:rFonts w:ascii="Arial" w:hAnsi="Arial" w:cs="Arial"/>
                <w:sz w:val="24"/>
                <w:szCs w:val="24"/>
              </w:rPr>
              <w:t>1</w:t>
            </w:r>
          </w:p>
        </w:tc>
        <w:tc>
          <w:tcPr>
            <w:tcW w:w="3727" w:type="dxa"/>
          </w:tcPr>
          <w:p w:rsidR="0015383E" w:rsidRPr="00CA6276" w:rsidRDefault="00C3748E" w:rsidP="001657F3">
            <w:pPr>
              <w:spacing w:after="0"/>
              <w:rPr>
                <w:rFonts w:ascii="Arial" w:hAnsi="Arial" w:cs="Arial"/>
                <w:sz w:val="24"/>
                <w:szCs w:val="24"/>
              </w:rPr>
            </w:pPr>
            <w:r w:rsidRPr="00CA6276">
              <w:rPr>
                <w:rFonts w:ascii="Arial" w:hAnsi="Arial" w:cs="Arial"/>
                <w:sz w:val="24"/>
                <w:szCs w:val="24"/>
              </w:rPr>
              <w:t xml:space="preserve">Coordinate examination activities with other members of the examination team and the examiner-in-charge (EIC). </w:t>
            </w:r>
          </w:p>
        </w:tc>
        <w:tc>
          <w:tcPr>
            <w:tcW w:w="389" w:type="dxa"/>
          </w:tcPr>
          <w:p w:rsidR="0015383E" w:rsidRPr="00CA6276" w:rsidRDefault="0015383E" w:rsidP="001657F3">
            <w:pPr>
              <w:spacing w:after="0"/>
              <w:rPr>
                <w:rFonts w:ascii="Arial" w:hAnsi="Arial" w:cs="Arial"/>
                <w:sz w:val="24"/>
                <w:szCs w:val="24"/>
              </w:rPr>
            </w:pPr>
          </w:p>
        </w:tc>
        <w:tc>
          <w:tcPr>
            <w:tcW w:w="390" w:type="dxa"/>
          </w:tcPr>
          <w:p w:rsidR="0015383E" w:rsidRPr="00CA6276" w:rsidRDefault="0015383E" w:rsidP="001657F3">
            <w:pPr>
              <w:spacing w:after="0"/>
              <w:rPr>
                <w:rFonts w:ascii="Arial" w:hAnsi="Arial" w:cs="Arial"/>
                <w:sz w:val="24"/>
                <w:szCs w:val="24"/>
              </w:rPr>
            </w:pPr>
          </w:p>
        </w:tc>
        <w:tc>
          <w:tcPr>
            <w:tcW w:w="4431" w:type="dxa"/>
          </w:tcPr>
          <w:p w:rsidR="0015383E" w:rsidRPr="00CA6276" w:rsidRDefault="0015383E" w:rsidP="001657F3">
            <w:pPr>
              <w:spacing w:after="0"/>
              <w:rPr>
                <w:rFonts w:ascii="Arial" w:hAnsi="Arial" w:cs="Arial"/>
                <w:sz w:val="24"/>
                <w:szCs w:val="24"/>
              </w:rPr>
            </w:pPr>
          </w:p>
        </w:tc>
      </w:tr>
      <w:tr w:rsidR="0015383E" w:rsidRPr="00CA6276" w:rsidTr="00C3748E">
        <w:tc>
          <w:tcPr>
            <w:tcW w:w="639" w:type="dxa"/>
          </w:tcPr>
          <w:p w:rsidR="0015383E" w:rsidRPr="00CA6276" w:rsidRDefault="0015383E" w:rsidP="001657F3">
            <w:pPr>
              <w:spacing w:after="0"/>
              <w:rPr>
                <w:rFonts w:ascii="Arial" w:hAnsi="Arial" w:cs="Arial"/>
                <w:sz w:val="24"/>
                <w:szCs w:val="24"/>
              </w:rPr>
            </w:pPr>
            <w:r w:rsidRPr="00CA6276">
              <w:rPr>
                <w:rFonts w:ascii="Arial" w:hAnsi="Arial" w:cs="Arial"/>
                <w:sz w:val="24"/>
                <w:szCs w:val="24"/>
              </w:rPr>
              <w:t>2</w:t>
            </w:r>
          </w:p>
        </w:tc>
        <w:tc>
          <w:tcPr>
            <w:tcW w:w="3727" w:type="dxa"/>
          </w:tcPr>
          <w:p w:rsidR="00C3748E" w:rsidRPr="00CA6276" w:rsidRDefault="00C3748E" w:rsidP="001657F3">
            <w:pPr>
              <w:spacing w:after="0"/>
              <w:rPr>
                <w:rFonts w:ascii="Arial" w:hAnsi="Arial" w:cs="Arial"/>
                <w:sz w:val="24"/>
                <w:szCs w:val="24"/>
              </w:rPr>
            </w:pPr>
            <w:r w:rsidRPr="00CA6276">
              <w:rPr>
                <w:rFonts w:ascii="Arial" w:hAnsi="Arial" w:cs="Arial"/>
                <w:sz w:val="24"/>
                <w:szCs w:val="24"/>
              </w:rPr>
              <w:t xml:space="preserve">Review prior examination workpapers and management’s responses and procedures not completed. </w:t>
            </w:r>
          </w:p>
        </w:tc>
        <w:tc>
          <w:tcPr>
            <w:tcW w:w="389" w:type="dxa"/>
          </w:tcPr>
          <w:p w:rsidR="0015383E" w:rsidRPr="00CA6276" w:rsidRDefault="0015383E" w:rsidP="001657F3">
            <w:pPr>
              <w:spacing w:after="0"/>
              <w:rPr>
                <w:rFonts w:ascii="Arial" w:hAnsi="Arial" w:cs="Arial"/>
                <w:sz w:val="24"/>
                <w:szCs w:val="24"/>
              </w:rPr>
            </w:pPr>
          </w:p>
        </w:tc>
        <w:tc>
          <w:tcPr>
            <w:tcW w:w="390" w:type="dxa"/>
          </w:tcPr>
          <w:p w:rsidR="0015383E" w:rsidRPr="00CA6276" w:rsidRDefault="0015383E" w:rsidP="001657F3">
            <w:pPr>
              <w:spacing w:after="0"/>
              <w:rPr>
                <w:rFonts w:ascii="Arial" w:hAnsi="Arial" w:cs="Arial"/>
                <w:sz w:val="24"/>
                <w:szCs w:val="24"/>
              </w:rPr>
            </w:pPr>
          </w:p>
        </w:tc>
        <w:tc>
          <w:tcPr>
            <w:tcW w:w="4431" w:type="dxa"/>
          </w:tcPr>
          <w:p w:rsidR="0015383E" w:rsidRPr="00CA6276" w:rsidRDefault="0015383E" w:rsidP="001657F3">
            <w:pPr>
              <w:spacing w:after="0"/>
              <w:rPr>
                <w:rFonts w:ascii="Arial" w:hAnsi="Arial" w:cs="Arial"/>
                <w:sz w:val="24"/>
                <w:szCs w:val="24"/>
              </w:rPr>
            </w:pPr>
          </w:p>
        </w:tc>
      </w:tr>
      <w:tr w:rsidR="0015383E" w:rsidRPr="00CA6276" w:rsidTr="00C3748E">
        <w:tc>
          <w:tcPr>
            <w:tcW w:w="639" w:type="dxa"/>
          </w:tcPr>
          <w:p w:rsidR="0015383E" w:rsidRPr="00CA6276" w:rsidRDefault="0015383E" w:rsidP="001657F3">
            <w:pPr>
              <w:spacing w:after="0"/>
              <w:rPr>
                <w:rFonts w:ascii="Arial" w:hAnsi="Arial" w:cs="Arial"/>
                <w:sz w:val="24"/>
                <w:szCs w:val="24"/>
              </w:rPr>
            </w:pPr>
            <w:r w:rsidRPr="00CA6276">
              <w:rPr>
                <w:rFonts w:ascii="Arial" w:hAnsi="Arial" w:cs="Arial"/>
                <w:sz w:val="24"/>
                <w:szCs w:val="24"/>
              </w:rPr>
              <w:t>3</w:t>
            </w:r>
          </w:p>
        </w:tc>
        <w:tc>
          <w:tcPr>
            <w:tcW w:w="3727" w:type="dxa"/>
          </w:tcPr>
          <w:p w:rsidR="0015383E" w:rsidRPr="00CA6276" w:rsidRDefault="00C3748E" w:rsidP="001657F3">
            <w:pPr>
              <w:spacing w:after="0"/>
              <w:rPr>
                <w:rFonts w:ascii="Arial" w:hAnsi="Arial" w:cs="Arial"/>
                <w:sz w:val="24"/>
                <w:szCs w:val="24"/>
              </w:rPr>
            </w:pPr>
            <w:r w:rsidRPr="00CA6276">
              <w:rPr>
                <w:rFonts w:ascii="Arial" w:hAnsi="Arial" w:cs="Arial"/>
                <w:sz w:val="24"/>
                <w:szCs w:val="24"/>
              </w:rPr>
              <w:t xml:space="preserve">Emphasize identifying violations of law and regulation; integrate those findings with the examination; and draw conclusions on management's compliance with laws and regulations. </w:t>
            </w:r>
          </w:p>
        </w:tc>
        <w:tc>
          <w:tcPr>
            <w:tcW w:w="389" w:type="dxa"/>
          </w:tcPr>
          <w:p w:rsidR="0015383E" w:rsidRPr="00CA6276" w:rsidRDefault="0015383E" w:rsidP="001657F3">
            <w:pPr>
              <w:spacing w:after="0"/>
              <w:rPr>
                <w:rFonts w:ascii="Arial" w:hAnsi="Arial" w:cs="Arial"/>
                <w:sz w:val="24"/>
                <w:szCs w:val="24"/>
              </w:rPr>
            </w:pPr>
          </w:p>
        </w:tc>
        <w:tc>
          <w:tcPr>
            <w:tcW w:w="390" w:type="dxa"/>
          </w:tcPr>
          <w:p w:rsidR="0015383E" w:rsidRPr="00CA6276" w:rsidRDefault="0015383E" w:rsidP="001657F3">
            <w:pPr>
              <w:spacing w:after="0"/>
              <w:rPr>
                <w:rFonts w:ascii="Arial" w:hAnsi="Arial" w:cs="Arial"/>
                <w:sz w:val="24"/>
                <w:szCs w:val="24"/>
              </w:rPr>
            </w:pPr>
          </w:p>
        </w:tc>
        <w:tc>
          <w:tcPr>
            <w:tcW w:w="4431" w:type="dxa"/>
          </w:tcPr>
          <w:p w:rsidR="0015383E" w:rsidRPr="00CA6276" w:rsidRDefault="0015383E" w:rsidP="001657F3">
            <w:pPr>
              <w:spacing w:after="0"/>
              <w:rPr>
                <w:rFonts w:ascii="Arial" w:hAnsi="Arial" w:cs="Arial"/>
                <w:sz w:val="24"/>
                <w:szCs w:val="24"/>
              </w:rPr>
            </w:pPr>
          </w:p>
        </w:tc>
      </w:tr>
      <w:tr w:rsidR="0015383E" w:rsidRPr="00CA6276" w:rsidTr="00C3748E">
        <w:tc>
          <w:tcPr>
            <w:tcW w:w="9576" w:type="dxa"/>
            <w:gridSpan w:val="5"/>
            <w:shd w:val="clear" w:color="auto" w:fill="D9D9D9"/>
          </w:tcPr>
          <w:p w:rsidR="0015383E" w:rsidRPr="00CA6276" w:rsidRDefault="0015383E" w:rsidP="001657F3">
            <w:pPr>
              <w:spacing w:after="0"/>
              <w:rPr>
                <w:rFonts w:ascii="Arial" w:hAnsi="Arial" w:cs="Arial"/>
                <w:b/>
                <w:sz w:val="24"/>
                <w:szCs w:val="24"/>
              </w:rPr>
            </w:pPr>
            <w:r w:rsidRPr="00CA6276">
              <w:rPr>
                <w:rFonts w:ascii="Arial" w:hAnsi="Arial" w:cs="Arial"/>
                <w:b/>
                <w:sz w:val="24"/>
                <w:szCs w:val="24"/>
              </w:rPr>
              <w:lastRenderedPageBreak/>
              <w:t>Internal Controls</w:t>
            </w:r>
            <w:r w:rsidR="00587D9A" w:rsidRPr="00CA6276">
              <w:rPr>
                <w:rFonts w:ascii="Arial" w:hAnsi="Arial" w:cs="Arial"/>
                <w:b/>
                <w:sz w:val="24"/>
                <w:szCs w:val="24"/>
              </w:rPr>
              <w:t xml:space="preserve"> – 31 CFR 1029.210(b)(1)</w:t>
            </w:r>
          </w:p>
        </w:tc>
      </w:tr>
      <w:tr w:rsidR="0015383E" w:rsidRPr="00CA6276" w:rsidTr="00C3748E">
        <w:tc>
          <w:tcPr>
            <w:tcW w:w="639" w:type="dxa"/>
          </w:tcPr>
          <w:p w:rsidR="0015383E" w:rsidRPr="00CA6276" w:rsidRDefault="0015383E" w:rsidP="001657F3">
            <w:pPr>
              <w:spacing w:after="0"/>
              <w:rPr>
                <w:rFonts w:ascii="Arial" w:hAnsi="Arial" w:cs="Arial"/>
                <w:sz w:val="24"/>
                <w:szCs w:val="24"/>
              </w:rPr>
            </w:pPr>
            <w:r w:rsidRPr="00CA6276">
              <w:rPr>
                <w:rFonts w:ascii="Arial" w:hAnsi="Arial" w:cs="Arial"/>
                <w:sz w:val="24"/>
                <w:szCs w:val="24"/>
              </w:rPr>
              <w:t>4</w:t>
            </w:r>
          </w:p>
        </w:tc>
        <w:tc>
          <w:tcPr>
            <w:tcW w:w="3727" w:type="dxa"/>
          </w:tcPr>
          <w:p w:rsidR="0015383E" w:rsidRPr="00CA6276" w:rsidRDefault="00C3748E" w:rsidP="001657F3">
            <w:pPr>
              <w:spacing w:after="0"/>
              <w:rPr>
                <w:rFonts w:ascii="Arial" w:hAnsi="Arial" w:cs="Arial"/>
                <w:sz w:val="24"/>
                <w:szCs w:val="24"/>
              </w:rPr>
            </w:pPr>
            <w:r w:rsidRPr="00CA6276">
              <w:rPr>
                <w:rFonts w:ascii="Arial" w:hAnsi="Arial" w:cs="Arial"/>
                <w:sz w:val="24"/>
                <w:szCs w:val="24"/>
              </w:rPr>
              <w:t xml:space="preserve">Review and evaluate the adequacy of policies, procedures, and internal controls in compliance with the requirements of 31 CFR §1029.210, which requires the development and implementation of a risk-based anti-money laundering program. This should also include procedures to file suspicious activities reports (SARs). </w:t>
            </w:r>
          </w:p>
          <w:p w:rsidR="0015383E" w:rsidRPr="00CA6276" w:rsidRDefault="0015383E" w:rsidP="001657F3">
            <w:pPr>
              <w:spacing w:after="0"/>
              <w:rPr>
                <w:rFonts w:ascii="Arial" w:hAnsi="Arial" w:cs="Arial"/>
                <w:i/>
                <w:sz w:val="24"/>
                <w:szCs w:val="24"/>
              </w:rPr>
            </w:pPr>
            <w:r w:rsidRPr="00CA6276">
              <w:rPr>
                <w:rFonts w:ascii="Arial" w:hAnsi="Arial" w:cs="Arial"/>
                <w:i/>
                <w:sz w:val="24"/>
                <w:szCs w:val="24"/>
              </w:rPr>
              <w:t xml:space="preserve">Note reviews and approvals by Senior Management, the Board of Directors or owner of the company.   </w:t>
            </w:r>
          </w:p>
        </w:tc>
        <w:tc>
          <w:tcPr>
            <w:tcW w:w="389" w:type="dxa"/>
          </w:tcPr>
          <w:p w:rsidR="0015383E" w:rsidRPr="00CA6276" w:rsidRDefault="0015383E" w:rsidP="001657F3">
            <w:pPr>
              <w:spacing w:after="0"/>
              <w:rPr>
                <w:rFonts w:ascii="Arial" w:hAnsi="Arial" w:cs="Arial"/>
                <w:sz w:val="24"/>
                <w:szCs w:val="24"/>
              </w:rPr>
            </w:pPr>
          </w:p>
        </w:tc>
        <w:tc>
          <w:tcPr>
            <w:tcW w:w="390" w:type="dxa"/>
          </w:tcPr>
          <w:p w:rsidR="0015383E" w:rsidRPr="00CA6276" w:rsidRDefault="0015383E" w:rsidP="001657F3">
            <w:pPr>
              <w:spacing w:after="0"/>
              <w:rPr>
                <w:rFonts w:ascii="Arial" w:hAnsi="Arial" w:cs="Arial"/>
                <w:sz w:val="24"/>
                <w:szCs w:val="24"/>
              </w:rPr>
            </w:pPr>
          </w:p>
        </w:tc>
        <w:tc>
          <w:tcPr>
            <w:tcW w:w="4431" w:type="dxa"/>
          </w:tcPr>
          <w:p w:rsidR="0015383E" w:rsidRPr="00CA6276" w:rsidRDefault="0015383E" w:rsidP="001657F3">
            <w:pPr>
              <w:spacing w:after="0"/>
              <w:rPr>
                <w:rFonts w:ascii="Arial" w:hAnsi="Arial" w:cs="Arial"/>
                <w:sz w:val="24"/>
                <w:szCs w:val="24"/>
              </w:rPr>
            </w:pPr>
          </w:p>
        </w:tc>
      </w:tr>
      <w:tr w:rsidR="007279F4" w:rsidRPr="00CA6276" w:rsidTr="00C3748E">
        <w:tc>
          <w:tcPr>
            <w:tcW w:w="639" w:type="dxa"/>
          </w:tcPr>
          <w:p w:rsidR="007279F4" w:rsidRPr="00CA6276" w:rsidRDefault="007279F4" w:rsidP="001657F3">
            <w:pPr>
              <w:spacing w:after="0"/>
              <w:rPr>
                <w:rFonts w:ascii="Arial" w:hAnsi="Arial" w:cs="Arial"/>
                <w:sz w:val="24"/>
                <w:szCs w:val="24"/>
              </w:rPr>
            </w:pPr>
            <w:r>
              <w:rPr>
                <w:rFonts w:ascii="Arial" w:hAnsi="Arial" w:cs="Arial"/>
                <w:sz w:val="24"/>
                <w:szCs w:val="24"/>
              </w:rPr>
              <w:t>5</w:t>
            </w:r>
          </w:p>
        </w:tc>
        <w:tc>
          <w:tcPr>
            <w:tcW w:w="3727" w:type="dxa"/>
          </w:tcPr>
          <w:p w:rsidR="007279F4" w:rsidRPr="00CA6276" w:rsidRDefault="007279F4" w:rsidP="001657F3">
            <w:pPr>
              <w:spacing w:after="0"/>
              <w:rPr>
                <w:rFonts w:ascii="Arial" w:hAnsi="Arial" w:cs="Arial"/>
                <w:sz w:val="24"/>
                <w:szCs w:val="24"/>
              </w:rPr>
            </w:pPr>
            <w:r>
              <w:rPr>
                <w:rFonts w:ascii="Arial" w:hAnsi="Arial" w:cs="Arial"/>
                <w:sz w:val="24"/>
                <w:szCs w:val="24"/>
              </w:rPr>
              <w:t>Verify policy for record retention requirement. Test record retention in 5 years.</w:t>
            </w:r>
          </w:p>
        </w:tc>
        <w:tc>
          <w:tcPr>
            <w:tcW w:w="389" w:type="dxa"/>
          </w:tcPr>
          <w:p w:rsidR="007279F4" w:rsidRPr="00CA6276" w:rsidRDefault="007279F4" w:rsidP="001657F3">
            <w:pPr>
              <w:spacing w:after="0"/>
              <w:rPr>
                <w:rFonts w:ascii="Arial" w:hAnsi="Arial" w:cs="Arial"/>
                <w:sz w:val="24"/>
                <w:szCs w:val="24"/>
              </w:rPr>
            </w:pPr>
          </w:p>
        </w:tc>
        <w:tc>
          <w:tcPr>
            <w:tcW w:w="390" w:type="dxa"/>
          </w:tcPr>
          <w:p w:rsidR="007279F4" w:rsidRPr="00CA6276" w:rsidRDefault="007279F4" w:rsidP="001657F3">
            <w:pPr>
              <w:spacing w:after="0"/>
              <w:rPr>
                <w:rFonts w:ascii="Arial" w:hAnsi="Arial" w:cs="Arial"/>
                <w:sz w:val="24"/>
                <w:szCs w:val="24"/>
              </w:rPr>
            </w:pPr>
          </w:p>
        </w:tc>
        <w:tc>
          <w:tcPr>
            <w:tcW w:w="4431" w:type="dxa"/>
          </w:tcPr>
          <w:p w:rsidR="007279F4" w:rsidRPr="00CA6276" w:rsidRDefault="007279F4" w:rsidP="001657F3">
            <w:pPr>
              <w:spacing w:after="0"/>
              <w:rPr>
                <w:rFonts w:ascii="Arial" w:hAnsi="Arial" w:cs="Arial"/>
                <w:sz w:val="24"/>
                <w:szCs w:val="24"/>
              </w:rPr>
            </w:pPr>
          </w:p>
        </w:tc>
      </w:tr>
      <w:tr w:rsidR="0015383E" w:rsidRPr="00CA6276" w:rsidTr="00C3748E">
        <w:tc>
          <w:tcPr>
            <w:tcW w:w="9576" w:type="dxa"/>
            <w:gridSpan w:val="5"/>
            <w:shd w:val="clear" w:color="auto" w:fill="D9D9D9"/>
          </w:tcPr>
          <w:p w:rsidR="0015383E" w:rsidRPr="00CA6276" w:rsidRDefault="0015383E" w:rsidP="001657F3">
            <w:pPr>
              <w:spacing w:after="0"/>
              <w:rPr>
                <w:rFonts w:ascii="Arial" w:hAnsi="Arial" w:cs="Arial"/>
                <w:b/>
                <w:sz w:val="24"/>
                <w:szCs w:val="24"/>
              </w:rPr>
            </w:pPr>
            <w:r w:rsidRPr="00CA6276">
              <w:rPr>
                <w:rFonts w:ascii="Arial" w:hAnsi="Arial" w:cs="Arial"/>
                <w:b/>
                <w:sz w:val="24"/>
                <w:szCs w:val="24"/>
              </w:rPr>
              <w:t>Risk Assessment</w:t>
            </w:r>
            <w:r w:rsidR="00587D9A" w:rsidRPr="00CA6276">
              <w:rPr>
                <w:rFonts w:ascii="Arial" w:hAnsi="Arial" w:cs="Arial"/>
                <w:b/>
                <w:sz w:val="24"/>
                <w:szCs w:val="24"/>
              </w:rPr>
              <w:t xml:space="preserve"> – 31 CFR 1029.210(b)(1)</w:t>
            </w:r>
          </w:p>
        </w:tc>
      </w:tr>
      <w:tr w:rsidR="0015383E" w:rsidRPr="00CA6276" w:rsidTr="00C3748E">
        <w:tc>
          <w:tcPr>
            <w:tcW w:w="639" w:type="dxa"/>
          </w:tcPr>
          <w:p w:rsidR="0015383E" w:rsidRPr="00CA6276" w:rsidRDefault="007279F4" w:rsidP="001657F3">
            <w:pPr>
              <w:spacing w:after="0"/>
              <w:rPr>
                <w:rFonts w:ascii="Arial" w:hAnsi="Arial" w:cs="Arial"/>
                <w:sz w:val="24"/>
                <w:szCs w:val="24"/>
              </w:rPr>
            </w:pPr>
            <w:r>
              <w:rPr>
                <w:rFonts w:ascii="Arial" w:hAnsi="Arial" w:cs="Arial"/>
                <w:sz w:val="24"/>
                <w:szCs w:val="24"/>
              </w:rPr>
              <w:t>6</w:t>
            </w:r>
          </w:p>
        </w:tc>
        <w:tc>
          <w:tcPr>
            <w:tcW w:w="3727" w:type="dxa"/>
          </w:tcPr>
          <w:p w:rsidR="0015383E" w:rsidRPr="00CA6276" w:rsidRDefault="00C3748E" w:rsidP="00F76007">
            <w:pPr>
              <w:spacing w:after="0"/>
              <w:rPr>
                <w:rFonts w:ascii="Arial" w:hAnsi="Arial" w:cs="Arial"/>
                <w:sz w:val="24"/>
                <w:szCs w:val="24"/>
              </w:rPr>
            </w:pPr>
            <w:r w:rsidRPr="00CA6276">
              <w:rPr>
                <w:rFonts w:ascii="Arial" w:hAnsi="Arial" w:cs="Arial"/>
                <w:sz w:val="24"/>
                <w:szCs w:val="24"/>
              </w:rPr>
              <w:t xml:space="preserve">Review the company’s BSA/AML risk assessment to include lenders and originators, as well as </w:t>
            </w:r>
            <w:r w:rsidR="00F76007">
              <w:rPr>
                <w:rFonts w:ascii="Arial" w:hAnsi="Arial" w:cs="Arial"/>
                <w:sz w:val="24"/>
                <w:szCs w:val="24"/>
              </w:rPr>
              <w:t xml:space="preserve"> third party vendors</w:t>
            </w:r>
            <w:r w:rsidRPr="00CA6276">
              <w:rPr>
                <w:rFonts w:ascii="Arial" w:hAnsi="Arial" w:cs="Arial"/>
                <w:sz w:val="24"/>
                <w:szCs w:val="24"/>
              </w:rPr>
              <w:t>.</w:t>
            </w:r>
          </w:p>
        </w:tc>
        <w:tc>
          <w:tcPr>
            <w:tcW w:w="389" w:type="dxa"/>
          </w:tcPr>
          <w:p w:rsidR="0015383E" w:rsidRPr="00CA6276" w:rsidRDefault="0015383E" w:rsidP="001657F3">
            <w:pPr>
              <w:spacing w:after="0"/>
              <w:rPr>
                <w:rFonts w:ascii="Arial" w:hAnsi="Arial" w:cs="Arial"/>
                <w:sz w:val="24"/>
                <w:szCs w:val="24"/>
              </w:rPr>
            </w:pPr>
          </w:p>
        </w:tc>
        <w:tc>
          <w:tcPr>
            <w:tcW w:w="390" w:type="dxa"/>
          </w:tcPr>
          <w:p w:rsidR="0015383E" w:rsidRPr="00CA6276" w:rsidRDefault="0015383E" w:rsidP="001657F3">
            <w:pPr>
              <w:spacing w:after="0"/>
              <w:rPr>
                <w:rFonts w:ascii="Arial" w:hAnsi="Arial" w:cs="Arial"/>
                <w:sz w:val="24"/>
                <w:szCs w:val="24"/>
              </w:rPr>
            </w:pPr>
          </w:p>
        </w:tc>
        <w:tc>
          <w:tcPr>
            <w:tcW w:w="4431" w:type="dxa"/>
          </w:tcPr>
          <w:p w:rsidR="0015383E" w:rsidRPr="00CA6276" w:rsidRDefault="0015383E" w:rsidP="001657F3">
            <w:pPr>
              <w:spacing w:after="0"/>
              <w:rPr>
                <w:rFonts w:ascii="Arial" w:hAnsi="Arial" w:cs="Arial"/>
                <w:sz w:val="24"/>
                <w:szCs w:val="24"/>
              </w:rPr>
            </w:pPr>
          </w:p>
        </w:tc>
      </w:tr>
      <w:tr w:rsidR="0015383E" w:rsidRPr="00CA6276" w:rsidTr="00C3748E">
        <w:tc>
          <w:tcPr>
            <w:tcW w:w="639" w:type="dxa"/>
          </w:tcPr>
          <w:p w:rsidR="0015383E" w:rsidRPr="00CA6276" w:rsidRDefault="007279F4" w:rsidP="001657F3">
            <w:pPr>
              <w:spacing w:after="0"/>
              <w:rPr>
                <w:rFonts w:ascii="Arial" w:hAnsi="Arial" w:cs="Arial"/>
                <w:sz w:val="24"/>
                <w:szCs w:val="24"/>
              </w:rPr>
            </w:pPr>
            <w:r>
              <w:rPr>
                <w:rFonts w:ascii="Arial" w:hAnsi="Arial" w:cs="Arial"/>
                <w:sz w:val="24"/>
                <w:szCs w:val="24"/>
              </w:rPr>
              <w:t>7</w:t>
            </w:r>
          </w:p>
        </w:tc>
        <w:tc>
          <w:tcPr>
            <w:tcW w:w="3727" w:type="dxa"/>
          </w:tcPr>
          <w:p w:rsidR="00F76007" w:rsidRDefault="00C3748E" w:rsidP="00F76007">
            <w:pPr>
              <w:spacing w:after="0"/>
              <w:rPr>
                <w:rFonts w:ascii="Arial" w:hAnsi="Arial" w:cs="Arial"/>
                <w:sz w:val="24"/>
                <w:szCs w:val="24"/>
              </w:rPr>
            </w:pPr>
            <w:r w:rsidRPr="00CA6276">
              <w:rPr>
                <w:rFonts w:ascii="Arial" w:hAnsi="Arial" w:cs="Arial"/>
                <w:sz w:val="24"/>
                <w:szCs w:val="24"/>
              </w:rPr>
              <w:t xml:space="preserve">Determine whether the RMLO has included all risk areas, including </w:t>
            </w:r>
          </w:p>
          <w:p w:rsidR="00F76007" w:rsidRDefault="00C3748E" w:rsidP="007279F4">
            <w:pPr>
              <w:numPr>
                <w:ilvl w:val="0"/>
                <w:numId w:val="62"/>
              </w:numPr>
              <w:spacing w:after="0"/>
              <w:rPr>
                <w:rFonts w:ascii="Arial" w:hAnsi="Arial" w:cs="Arial"/>
                <w:sz w:val="24"/>
                <w:szCs w:val="24"/>
              </w:rPr>
            </w:pPr>
            <w:r w:rsidRPr="00CA6276">
              <w:rPr>
                <w:rFonts w:ascii="Arial" w:hAnsi="Arial" w:cs="Arial"/>
                <w:sz w:val="24"/>
                <w:szCs w:val="24"/>
              </w:rPr>
              <w:t xml:space="preserve">new products, </w:t>
            </w:r>
          </w:p>
          <w:p w:rsidR="00F76007" w:rsidRDefault="00C3748E" w:rsidP="007279F4">
            <w:pPr>
              <w:numPr>
                <w:ilvl w:val="0"/>
                <w:numId w:val="62"/>
              </w:numPr>
              <w:spacing w:after="0"/>
              <w:rPr>
                <w:rFonts w:ascii="Arial" w:hAnsi="Arial" w:cs="Arial"/>
                <w:sz w:val="24"/>
                <w:szCs w:val="24"/>
              </w:rPr>
            </w:pPr>
            <w:r w:rsidRPr="00CA6276">
              <w:rPr>
                <w:rFonts w:ascii="Arial" w:hAnsi="Arial" w:cs="Arial"/>
                <w:sz w:val="24"/>
                <w:szCs w:val="24"/>
              </w:rPr>
              <w:t xml:space="preserve">services, </w:t>
            </w:r>
          </w:p>
          <w:p w:rsidR="00F76007" w:rsidRDefault="00C3748E" w:rsidP="007279F4">
            <w:pPr>
              <w:numPr>
                <w:ilvl w:val="0"/>
                <w:numId w:val="62"/>
              </w:numPr>
              <w:spacing w:after="0"/>
              <w:rPr>
                <w:rFonts w:ascii="Arial" w:hAnsi="Arial" w:cs="Arial"/>
                <w:sz w:val="24"/>
                <w:szCs w:val="24"/>
              </w:rPr>
            </w:pPr>
            <w:r w:rsidRPr="00CA6276">
              <w:rPr>
                <w:rFonts w:ascii="Arial" w:hAnsi="Arial" w:cs="Arial"/>
                <w:sz w:val="24"/>
                <w:szCs w:val="24"/>
              </w:rPr>
              <w:t>targeted customers</w:t>
            </w:r>
          </w:p>
          <w:p w:rsidR="00F76007" w:rsidRDefault="00F76007" w:rsidP="007279F4">
            <w:pPr>
              <w:numPr>
                <w:ilvl w:val="0"/>
                <w:numId w:val="62"/>
              </w:numPr>
              <w:spacing w:after="0"/>
              <w:rPr>
                <w:rFonts w:ascii="Arial" w:hAnsi="Arial" w:cs="Arial"/>
                <w:sz w:val="24"/>
                <w:szCs w:val="24"/>
              </w:rPr>
            </w:pPr>
            <w:r>
              <w:rPr>
                <w:rFonts w:ascii="Arial" w:hAnsi="Arial" w:cs="Arial"/>
                <w:sz w:val="24"/>
                <w:szCs w:val="24"/>
              </w:rPr>
              <w:t>US Citizen</w:t>
            </w:r>
          </w:p>
          <w:p w:rsidR="00F76007" w:rsidRDefault="00F76007" w:rsidP="007279F4">
            <w:pPr>
              <w:numPr>
                <w:ilvl w:val="0"/>
                <w:numId w:val="62"/>
              </w:numPr>
              <w:spacing w:after="0"/>
              <w:rPr>
                <w:rFonts w:ascii="Arial" w:hAnsi="Arial" w:cs="Arial"/>
                <w:sz w:val="24"/>
                <w:szCs w:val="24"/>
              </w:rPr>
            </w:pPr>
            <w:r>
              <w:rPr>
                <w:rFonts w:ascii="Arial" w:hAnsi="Arial" w:cs="Arial"/>
                <w:sz w:val="24"/>
                <w:szCs w:val="24"/>
              </w:rPr>
              <w:t>Non-US Citizen</w:t>
            </w:r>
          </w:p>
          <w:p w:rsidR="00F76007" w:rsidRDefault="00F76007" w:rsidP="007279F4">
            <w:pPr>
              <w:numPr>
                <w:ilvl w:val="0"/>
                <w:numId w:val="62"/>
              </w:numPr>
              <w:spacing w:after="0"/>
              <w:rPr>
                <w:rFonts w:ascii="Arial" w:hAnsi="Arial" w:cs="Arial"/>
                <w:sz w:val="24"/>
                <w:szCs w:val="24"/>
              </w:rPr>
            </w:pPr>
            <w:r>
              <w:rPr>
                <w:rFonts w:ascii="Arial" w:hAnsi="Arial" w:cs="Arial"/>
                <w:sz w:val="24"/>
                <w:szCs w:val="24"/>
              </w:rPr>
              <w:t>Professional Service Provider</w:t>
            </w:r>
          </w:p>
          <w:p w:rsidR="00F76007" w:rsidRDefault="00F76007" w:rsidP="007279F4">
            <w:pPr>
              <w:numPr>
                <w:ilvl w:val="0"/>
                <w:numId w:val="62"/>
              </w:numPr>
              <w:spacing w:after="0"/>
              <w:rPr>
                <w:rFonts w:ascii="Arial" w:hAnsi="Arial" w:cs="Arial"/>
                <w:sz w:val="24"/>
                <w:szCs w:val="24"/>
              </w:rPr>
            </w:pPr>
            <w:r>
              <w:rPr>
                <w:rFonts w:ascii="Arial" w:hAnsi="Arial" w:cs="Arial"/>
                <w:sz w:val="24"/>
                <w:szCs w:val="24"/>
              </w:rPr>
              <w:t>Cash intensive business</w:t>
            </w:r>
          </w:p>
          <w:p w:rsidR="00F76007" w:rsidRDefault="00F76007" w:rsidP="007279F4">
            <w:pPr>
              <w:numPr>
                <w:ilvl w:val="0"/>
                <w:numId w:val="62"/>
              </w:numPr>
              <w:spacing w:after="0"/>
              <w:rPr>
                <w:rFonts w:ascii="Arial" w:hAnsi="Arial" w:cs="Arial"/>
                <w:sz w:val="24"/>
                <w:szCs w:val="24"/>
              </w:rPr>
            </w:pPr>
            <w:r>
              <w:rPr>
                <w:rFonts w:ascii="Arial" w:hAnsi="Arial" w:cs="Arial"/>
                <w:sz w:val="24"/>
                <w:szCs w:val="24"/>
              </w:rPr>
              <w:t>geography/location of property</w:t>
            </w:r>
          </w:p>
          <w:p w:rsidR="00F76007" w:rsidRDefault="00F76007" w:rsidP="007279F4">
            <w:pPr>
              <w:numPr>
                <w:ilvl w:val="0"/>
                <w:numId w:val="62"/>
              </w:numPr>
              <w:spacing w:after="0"/>
              <w:rPr>
                <w:rFonts w:ascii="Arial" w:hAnsi="Arial" w:cs="Arial"/>
                <w:sz w:val="24"/>
                <w:szCs w:val="24"/>
              </w:rPr>
            </w:pPr>
            <w:r>
              <w:rPr>
                <w:rFonts w:ascii="Arial" w:hAnsi="Arial" w:cs="Arial"/>
                <w:sz w:val="24"/>
                <w:szCs w:val="24"/>
              </w:rPr>
              <w:t>geography/location of customer business</w:t>
            </w:r>
          </w:p>
          <w:p w:rsidR="00F76007" w:rsidRDefault="00F76007" w:rsidP="007279F4">
            <w:pPr>
              <w:numPr>
                <w:ilvl w:val="0"/>
                <w:numId w:val="62"/>
              </w:numPr>
              <w:spacing w:after="0"/>
              <w:rPr>
                <w:rFonts w:ascii="Arial" w:hAnsi="Arial" w:cs="Arial"/>
                <w:sz w:val="24"/>
                <w:szCs w:val="24"/>
              </w:rPr>
            </w:pPr>
            <w:r>
              <w:rPr>
                <w:rFonts w:ascii="Arial" w:hAnsi="Arial" w:cs="Arial"/>
                <w:sz w:val="24"/>
                <w:szCs w:val="24"/>
              </w:rPr>
              <w:lastRenderedPageBreak/>
              <w:t>Form 8300s filed</w:t>
            </w:r>
          </w:p>
          <w:p w:rsidR="00F76007" w:rsidRDefault="00F76007" w:rsidP="007279F4">
            <w:pPr>
              <w:numPr>
                <w:ilvl w:val="0"/>
                <w:numId w:val="62"/>
              </w:numPr>
              <w:spacing w:after="0"/>
              <w:rPr>
                <w:rFonts w:ascii="Arial" w:hAnsi="Arial" w:cs="Arial"/>
                <w:sz w:val="24"/>
                <w:szCs w:val="24"/>
              </w:rPr>
            </w:pPr>
            <w:r>
              <w:rPr>
                <w:rFonts w:ascii="Arial" w:hAnsi="Arial" w:cs="Arial"/>
                <w:sz w:val="24"/>
                <w:szCs w:val="24"/>
              </w:rPr>
              <w:t>SARs filed</w:t>
            </w:r>
          </w:p>
          <w:p w:rsidR="00F76007" w:rsidRDefault="00F76007" w:rsidP="007279F4">
            <w:pPr>
              <w:numPr>
                <w:ilvl w:val="0"/>
                <w:numId w:val="62"/>
              </w:numPr>
              <w:spacing w:after="0"/>
              <w:rPr>
                <w:rFonts w:ascii="Arial" w:hAnsi="Arial" w:cs="Arial"/>
                <w:sz w:val="24"/>
                <w:szCs w:val="24"/>
              </w:rPr>
            </w:pPr>
            <w:r>
              <w:rPr>
                <w:rFonts w:ascii="Arial" w:hAnsi="Arial" w:cs="Arial"/>
                <w:sz w:val="24"/>
                <w:szCs w:val="24"/>
              </w:rPr>
              <w:t>OFAC matches</w:t>
            </w:r>
          </w:p>
          <w:p w:rsidR="0015383E" w:rsidRPr="00CA6276" w:rsidRDefault="00F76007" w:rsidP="007279F4">
            <w:pPr>
              <w:numPr>
                <w:ilvl w:val="0"/>
                <w:numId w:val="62"/>
              </w:numPr>
              <w:spacing w:after="0"/>
              <w:rPr>
                <w:rFonts w:ascii="Arial" w:hAnsi="Arial" w:cs="Arial"/>
                <w:sz w:val="24"/>
                <w:szCs w:val="24"/>
              </w:rPr>
            </w:pPr>
            <w:r>
              <w:rPr>
                <w:rFonts w:ascii="Arial" w:hAnsi="Arial" w:cs="Arial"/>
                <w:sz w:val="24"/>
                <w:szCs w:val="24"/>
              </w:rPr>
              <w:t>314(a) match</w:t>
            </w:r>
            <w:r w:rsidR="00C3748E" w:rsidRPr="00CA6276">
              <w:rPr>
                <w:rFonts w:ascii="Arial" w:hAnsi="Arial" w:cs="Arial"/>
                <w:sz w:val="24"/>
                <w:szCs w:val="24"/>
              </w:rPr>
              <w:t xml:space="preserve">. </w:t>
            </w:r>
          </w:p>
        </w:tc>
        <w:tc>
          <w:tcPr>
            <w:tcW w:w="389" w:type="dxa"/>
          </w:tcPr>
          <w:p w:rsidR="0015383E" w:rsidRPr="00CA6276" w:rsidRDefault="0015383E" w:rsidP="001657F3">
            <w:pPr>
              <w:spacing w:after="0"/>
              <w:rPr>
                <w:rFonts w:ascii="Arial" w:hAnsi="Arial" w:cs="Arial"/>
                <w:sz w:val="24"/>
                <w:szCs w:val="24"/>
              </w:rPr>
            </w:pPr>
          </w:p>
        </w:tc>
        <w:tc>
          <w:tcPr>
            <w:tcW w:w="390" w:type="dxa"/>
          </w:tcPr>
          <w:p w:rsidR="0015383E" w:rsidRPr="00CA6276" w:rsidRDefault="0015383E" w:rsidP="001657F3">
            <w:pPr>
              <w:spacing w:after="0"/>
              <w:rPr>
                <w:rFonts w:ascii="Arial" w:hAnsi="Arial" w:cs="Arial"/>
                <w:sz w:val="24"/>
                <w:szCs w:val="24"/>
              </w:rPr>
            </w:pPr>
          </w:p>
        </w:tc>
        <w:tc>
          <w:tcPr>
            <w:tcW w:w="4431" w:type="dxa"/>
          </w:tcPr>
          <w:p w:rsidR="0015383E" w:rsidRPr="00CA6276" w:rsidRDefault="0015383E" w:rsidP="001657F3">
            <w:pPr>
              <w:spacing w:after="0"/>
              <w:rPr>
                <w:rFonts w:ascii="Arial" w:hAnsi="Arial" w:cs="Arial"/>
                <w:sz w:val="24"/>
                <w:szCs w:val="24"/>
              </w:rPr>
            </w:pPr>
          </w:p>
        </w:tc>
      </w:tr>
      <w:tr w:rsidR="0015383E" w:rsidRPr="00CA6276" w:rsidTr="00C3748E">
        <w:tc>
          <w:tcPr>
            <w:tcW w:w="639" w:type="dxa"/>
          </w:tcPr>
          <w:p w:rsidR="0015383E" w:rsidRPr="00CA6276" w:rsidRDefault="007279F4" w:rsidP="001657F3">
            <w:pPr>
              <w:spacing w:after="0"/>
              <w:rPr>
                <w:rFonts w:ascii="Arial" w:hAnsi="Arial" w:cs="Arial"/>
                <w:sz w:val="24"/>
                <w:szCs w:val="24"/>
              </w:rPr>
            </w:pPr>
            <w:r>
              <w:rPr>
                <w:rFonts w:ascii="Arial" w:hAnsi="Arial" w:cs="Arial"/>
                <w:sz w:val="24"/>
                <w:szCs w:val="24"/>
              </w:rPr>
              <w:lastRenderedPageBreak/>
              <w:t>8</w:t>
            </w:r>
          </w:p>
        </w:tc>
        <w:tc>
          <w:tcPr>
            <w:tcW w:w="3727" w:type="dxa"/>
          </w:tcPr>
          <w:p w:rsidR="0015383E" w:rsidRPr="00CA6276" w:rsidRDefault="00C3748E" w:rsidP="001657F3">
            <w:pPr>
              <w:spacing w:after="0"/>
              <w:rPr>
                <w:rFonts w:ascii="Arial" w:hAnsi="Arial" w:cs="Arial"/>
                <w:sz w:val="24"/>
                <w:szCs w:val="24"/>
              </w:rPr>
            </w:pPr>
            <w:r w:rsidRPr="00CA6276">
              <w:rPr>
                <w:rFonts w:ascii="Arial" w:hAnsi="Arial" w:cs="Arial"/>
                <w:sz w:val="24"/>
                <w:szCs w:val="24"/>
              </w:rPr>
              <w:t xml:space="preserve">Review if the state law allows RMLO’s to originate mortgage loans on properties located in other states.  </w:t>
            </w:r>
          </w:p>
        </w:tc>
        <w:tc>
          <w:tcPr>
            <w:tcW w:w="389" w:type="dxa"/>
          </w:tcPr>
          <w:p w:rsidR="0015383E" w:rsidRPr="00CA6276" w:rsidRDefault="0015383E" w:rsidP="001657F3">
            <w:pPr>
              <w:spacing w:after="0"/>
              <w:rPr>
                <w:rFonts w:ascii="Arial" w:hAnsi="Arial" w:cs="Arial"/>
                <w:sz w:val="24"/>
                <w:szCs w:val="24"/>
              </w:rPr>
            </w:pPr>
          </w:p>
        </w:tc>
        <w:tc>
          <w:tcPr>
            <w:tcW w:w="390" w:type="dxa"/>
          </w:tcPr>
          <w:p w:rsidR="0015383E" w:rsidRPr="00CA6276" w:rsidRDefault="0015383E" w:rsidP="001657F3">
            <w:pPr>
              <w:spacing w:after="0"/>
              <w:rPr>
                <w:rFonts w:ascii="Arial" w:hAnsi="Arial" w:cs="Arial"/>
                <w:sz w:val="24"/>
                <w:szCs w:val="24"/>
              </w:rPr>
            </w:pPr>
          </w:p>
        </w:tc>
        <w:tc>
          <w:tcPr>
            <w:tcW w:w="4431" w:type="dxa"/>
          </w:tcPr>
          <w:p w:rsidR="0015383E" w:rsidRPr="00CA6276" w:rsidRDefault="0015383E" w:rsidP="001657F3">
            <w:pPr>
              <w:spacing w:after="0"/>
              <w:rPr>
                <w:rFonts w:ascii="Arial" w:hAnsi="Arial" w:cs="Arial"/>
                <w:sz w:val="24"/>
                <w:szCs w:val="24"/>
              </w:rPr>
            </w:pPr>
          </w:p>
        </w:tc>
      </w:tr>
      <w:tr w:rsidR="0015383E" w:rsidRPr="00CA6276" w:rsidTr="00C3748E">
        <w:tc>
          <w:tcPr>
            <w:tcW w:w="639" w:type="dxa"/>
          </w:tcPr>
          <w:p w:rsidR="0015383E" w:rsidRPr="00CA6276" w:rsidRDefault="007279F4" w:rsidP="001657F3">
            <w:pPr>
              <w:spacing w:after="0"/>
              <w:rPr>
                <w:rFonts w:ascii="Arial" w:hAnsi="Arial" w:cs="Arial"/>
                <w:sz w:val="24"/>
                <w:szCs w:val="24"/>
              </w:rPr>
            </w:pPr>
            <w:r>
              <w:rPr>
                <w:rFonts w:ascii="Arial" w:hAnsi="Arial" w:cs="Arial"/>
                <w:sz w:val="24"/>
                <w:szCs w:val="24"/>
              </w:rPr>
              <w:t>9</w:t>
            </w:r>
          </w:p>
        </w:tc>
        <w:tc>
          <w:tcPr>
            <w:tcW w:w="3727" w:type="dxa"/>
          </w:tcPr>
          <w:p w:rsidR="0015383E" w:rsidRPr="00CA6276" w:rsidRDefault="00C3748E" w:rsidP="001657F3">
            <w:pPr>
              <w:spacing w:after="0"/>
              <w:rPr>
                <w:rFonts w:ascii="Arial" w:hAnsi="Arial" w:cs="Arial"/>
                <w:sz w:val="24"/>
                <w:szCs w:val="24"/>
              </w:rPr>
            </w:pPr>
            <w:r w:rsidRPr="00CA6276">
              <w:rPr>
                <w:rFonts w:ascii="Arial" w:hAnsi="Arial" w:cs="Arial"/>
                <w:sz w:val="24"/>
                <w:szCs w:val="24"/>
              </w:rPr>
              <w:t>Determine whether the company’s  process for periodically reviewing and updating its BSA/AML risk assessment is adequate.</w:t>
            </w:r>
          </w:p>
        </w:tc>
        <w:tc>
          <w:tcPr>
            <w:tcW w:w="389" w:type="dxa"/>
          </w:tcPr>
          <w:p w:rsidR="0015383E" w:rsidRPr="00CA6276" w:rsidRDefault="0015383E" w:rsidP="001657F3">
            <w:pPr>
              <w:spacing w:after="0"/>
              <w:rPr>
                <w:rFonts w:ascii="Arial" w:hAnsi="Arial" w:cs="Arial"/>
                <w:sz w:val="24"/>
                <w:szCs w:val="24"/>
              </w:rPr>
            </w:pPr>
          </w:p>
        </w:tc>
        <w:tc>
          <w:tcPr>
            <w:tcW w:w="390" w:type="dxa"/>
          </w:tcPr>
          <w:p w:rsidR="0015383E" w:rsidRPr="00CA6276" w:rsidRDefault="0015383E" w:rsidP="001657F3">
            <w:pPr>
              <w:spacing w:after="0"/>
              <w:rPr>
                <w:rFonts w:ascii="Arial" w:hAnsi="Arial" w:cs="Arial"/>
                <w:sz w:val="24"/>
                <w:szCs w:val="24"/>
              </w:rPr>
            </w:pPr>
          </w:p>
        </w:tc>
        <w:tc>
          <w:tcPr>
            <w:tcW w:w="4431" w:type="dxa"/>
          </w:tcPr>
          <w:p w:rsidR="0015383E" w:rsidRPr="00CA6276" w:rsidRDefault="0015383E" w:rsidP="001657F3">
            <w:pPr>
              <w:spacing w:after="0"/>
              <w:rPr>
                <w:rFonts w:ascii="Arial" w:hAnsi="Arial" w:cs="Arial"/>
                <w:sz w:val="24"/>
                <w:szCs w:val="24"/>
              </w:rPr>
            </w:pPr>
          </w:p>
        </w:tc>
      </w:tr>
      <w:tr w:rsidR="0015383E" w:rsidRPr="00CA6276" w:rsidTr="00C3748E">
        <w:tc>
          <w:tcPr>
            <w:tcW w:w="639" w:type="dxa"/>
          </w:tcPr>
          <w:p w:rsidR="0015383E" w:rsidRPr="00CA6276" w:rsidRDefault="007279F4" w:rsidP="001657F3">
            <w:pPr>
              <w:spacing w:after="0"/>
              <w:rPr>
                <w:rFonts w:ascii="Arial" w:hAnsi="Arial" w:cs="Arial"/>
                <w:sz w:val="24"/>
                <w:szCs w:val="24"/>
              </w:rPr>
            </w:pPr>
            <w:r>
              <w:rPr>
                <w:rFonts w:ascii="Arial" w:hAnsi="Arial" w:cs="Arial"/>
                <w:sz w:val="24"/>
                <w:szCs w:val="24"/>
              </w:rPr>
              <w:t>10</w:t>
            </w:r>
          </w:p>
        </w:tc>
        <w:tc>
          <w:tcPr>
            <w:tcW w:w="3727" w:type="dxa"/>
          </w:tcPr>
          <w:p w:rsidR="00C3748E" w:rsidRPr="00CA6276" w:rsidRDefault="00C3748E" w:rsidP="001657F3">
            <w:pPr>
              <w:spacing w:after="0"/>
              <w:rPr>
                <w:rFonts w:ascii="Arial" w:hAnsi="Arial" w:cs="Arial"/>
                <w:sz w:val="24"/>
                <w:szCs w:val="24"/>
              </w:rPr>
            </w:pPr>
            <w:r w:rsidRPr="00CA6276">
              <w:rPr>
                <w:rFonts w:ascii="Arial" w:hAnsi="Arial" w:cs="Arial"/>
                <w:sz w:val="24"/>
                <w:szCs w:val="24"/>
              </w:rPr>
              <w:t>The risk assessment should list and identify  characteristics for:</w:t>
            </w:r>
          </w:p>
          <w:p w:rsidR="0015383E" w:rsidRPr="00CA6276" w:rsidRDefault="0015383E" w:rsidP="001657F3">
            <w:pPr>
              <w:numPr>
                <w:ilvl w:val="0"/>
                <w:numId w:val="21"/>
              </w:numPr>
              <w:spacing w:after="0"/>
              <w:ind w:left="752"/>
              <w:rPr>
                <w:rFonts w:ascii="Arial" w:hAnsi="Arial" w:cs="Arial"/>
                <w:sz w:val="24"/>
                <w:szCs w:val="24"/>
              </w:rPr>
            </w:pPr>
            <w:r w:rsidRPr="00CA6276">
              <w:rPr>
                <w:rFonts w:ascii="Arial" w:hAnsi="Arial" w:cs="Arial"/>
                <w:sz w:val="24"/>
                <w:szCs w:val="24"/>
              </w:rPr>
              <w:t>loans originated by the company and/or agents,</w:t>
            </w:r>
          </w:p>
          <w:p w:rsidR="0015383E" w:rsidRPr="00CA6276" w:rsidRDefault="0015383E" w:rsidP="001657F3">
            <w:pPr>
              <w:numPr>
                <w:ilvl w:val="0"/>
                <w:numId w:val="21"/>
              </w:numPr>
              <w:spacing w:after="0"/>
              <w:ind w:left="752"/>
              <w:rPr>
                <w:rFonts w:ascii="Arial" w:hAnsi="Arial" w:cs="Arial"/>
                <w:sz w:val="24"/>
                <w:szCs w:val="24"/>
              </w:rPr>
            </w:pPr>
            <w:r w:rsidRPr="00CA6276">
              <w:rPr>
                <w:rFonts w:ascii="Arial" w:hAnsi="Arial" w:cs="Arial"/>
                <w:sz w:val="24"/>
                <w:szCs w:val="24"/>
              </w:rPr>
              <w:t>loans purchased from other companies, or</w:t>
            </w:r>
          </w:p>
          <w:p w:rsidR="0015383E" w:rsidRPr="00CA6276" w:rsidRDefault="0015383E" w:rsidP="001657F3">
            <w:pPr>
              <w:numPr>
                <w:ilvl w:val="0"/>
                <w:numId w:val="21"/>
              </w:numPr>
              <w:spacing w:after="0"/>
              <w:ind w:left="752"/>
              <w:rPr>
                <w:rFonts w:ascii="Arial" w:hAnsi="Arial" w:cs="Arial"/>
                <w:sz w:val="24"/>
                <w:szCs w:val="24"/>
              </w:rPr>
            </w:pPr>
            <w:r w:rsidRPr="00CA6276">
              <w:rPr>
                <w:rFonts w:ascii="Arial" w:hAnsi="Arial" w:cs="Arial"/>
                <w:sz w:val="24"/>
                <w:szCs w:val="24"/>
              </w:rPr>
              <w:t xml:space="preserve">loans serviced, not owned by the company.  </w:t>
            </w:r>
          </w:p>
        </w:tc>
        <w:tc>
          <w:tcPr>
            <w:tcW w:w="389" w:type="dxa"/>
          </w:tcPr>
          <w:p w:rsidR="0015383E" w:rsidRPr="00CA6276" w:rsidRDefault="0015383E" w:rsidP="001657F3">
            <w:pPr>
              <w:spacing w:after="0"/>
              <w:rPr>
                <w:rFonts w:ascii="Arial" w:hAnsi="Arial" w:cs="Arial"/>
                <w:sz w:val="24"/>
                <w:szCs w:val="24"/>
              </w:rPr>
            </w:pPr>
          </w:p>
        </w:tc>
        <w:tc>
          <w:tcPr>
            <w:tcW w:w="390" w:type="dxa"/>
          </w:tcPr>
          <w:p w:rsidR="0015383E" w:rsidRPr="00CA6276" w:rsidRDefault="0015383E" w:rsidP="001657F3">
            <w:pPr>
              <w:spacing w:after="0"/>
              <w:rPr>
                <w:rFonts w:ascii="Arial" w:hAnsi="Arial" w:cs="Arial"/>
                <w:sz w:val="24"/>
                <w:szCs w:val="24"/>
              </w:rPr>
            </w:pPr>
          </w:p>
        </w:tc>
        <w:tc>
          <w:tcPr>
            <w:tcW w:w="4431" w:type="dxa"/>
          </w:tcPr>
          <w:p w:rsidR="0015383E" w:rsidRPr="00CA6276" w:rsidRDefault="0015383E" w:rsidP="001657F3">
            <w:pPr>
              <w:spacing w:after="0"/>
              <w:rPr>
                <w:rFonts w:ascii="Arial" w:hAnsi="Arial" w:cs="Arial"/>
                <w:sz w:val="24"/>
                <w:szCs w:val="24"/>
              </w:rPr>
            </w:pPr>
          </w:p>
        </w:tc>
      </w:tr>
      <w:tr w:rsidR="0015383E" w:rsidRPr="00CA6276" w:rsidTr="00C3748E">
        <w:tc>
          <w:tcPr>
            <w:tcW w:w="639" w:type="dxa"/>
          </w:tcPr>
          <w:p w:rsidR="0015383E" w:rsidRPr="00CA6276" w:rsidRDefault="007279F4" w:rsidP="001657F3">
            <w:pPr>
              <w:spacing w:after="0"/>
              <w:rPr>
                <w:rFonts w:ascii="Arial" w:hAnsi="Arial" w:cs="Arial"/>
                <w:sz w:val="24"/>
                <w:szCs w:val="24"/>
              </w:rPr>
            </w:pPr>
            <w:r>
              <w:rPr>
                <w:rFonts w:ascii="Arial" w:hAnsi="Arial" w:cs="Arial"/>
                <w:sz w:val="24"/>
                <w:szCs w:val="24"/>
              </w:rPr>
              <w:t>11</w:t>
            </w:r>
          </w:p>
        </w:tc>
        <w:tc>
          <w:tcPr>
            <w:tcW w:w="3727" w:type="dxa"/>
          </w:tcPr>
          <w:p w:rsidR="0015383E" w:rsidRPr="00CA6276" w:rsidRDefault="00C3748E" w:rsidP="001657F3">
            <w:pPr>
              <w:spacing w:after="0"/>
              <w:rPr>
                <w:rFonts w:ascii="Arial" w:hAnsi="Arial" w:cs="Arial"/>
                <w:sz w:val="24"/>
                <w:szCs w:val="24"/>
              </w:rPr>
            </w:pPr>
            <w:r w:rsidRPr="00CA6276">
              <w:rPr>
                <w:rFonts w:ascii="Arial" w:hAnsi="Arial" w:cs="Arial"/>
                <w:sz w:val="24"/>
                <w:szCs w:val="24"/>
              </w:rPr>
              <w:t>Examiners should document and discuss the company’s BSA/AML risk profile and any identified deficiencies in the risk assessment process.</w:t>
            </w:r>
          </w:p>
        </w:tc>
        <w:tc>
          <w:tcPr>
            <w:tcW w:w="389" w:type="dxa"/>
          </w:tcPr>
          <w:p w:rsidR="0015383E" w:rsidRPr="00CA6276" w:rsidRDefault="0015383E" w:rsidP="001657F3">
            <w:pPr>
              <w:spacing w:after="0"/>
              <w:rPr>
                <w:rFonts w:ascii="Arial" w:hAnsi="Arial" w:cs="Arial"/>
                <w:sz w:val="24"/>
                <w:szCs w:val="24"/>
              </w:rPr>
            </w:pPr>
          </w:p>
        </w:tc>
        <w:tc>
          <w:tcPr>
            <w:tcW w:w="390" w:type="dxa"/>
          </w:tcPr>
          <w:p w:rsidR="0015383E" w:rsidRPr="00CA6276" w:rsidRDefault="0015383E" w:rsidP="001657F3">
            <w:pPr>
              <w:spacing w:after="0"/>
              <w:rPr>
                <w:rFonts w:ascii="Arial" w:hAnsi="Arial" w:cs="Arial"/>
                <w:sz w:val="24"/>
                <w:szCs w:val="24"/>
              </w:rPr>
            </w:pPr>
          </w:p>
        </w:tc>
        <w:tc>
          <w:tcPr>
            <w:tcW w:w="4431" w:type="dxa"/>
          </w:tcPr>
          <w:p w:rsidR="0015383E" w:rsidRPr="00CA6276" w:rsidRDefault="0015383E" w:rsidP="001657F3">
            <w:pPr>
              <w:spacing w:after="0"/>
              <w:rPr>
                <w:rFonts w:ascii="Arial" w:hAnsi="Arial" w:cs="Arial"/>
                <w:sz w:val="24"/>
                <w:szCs w:val="24"/>
              </w:rPr>
            </w:pPr>
          </w:p>
        </w:tc>
      </w:tr>
      <w:tr w:rsidR="0015383E" w:rsidRPr="00CA6276" w:rsidTr="00C3748E">
        <w:tc>
          <w:tcPr>
            <w:tcW w:w="9576" w:type="dxa"/>
            <w:gridSpan w:val="5"/>
            <w:shd w:val="clear" w:color="auto" w:fill="D9D9D9"/>
          </w:tcPr>
          <w:p w:rsidR="0015383E" w:rsidRPr="00CA6276" w:rsidRDefault="0015383E" w:rsidP="00587D9A">
            <w:pPr>
              <w:spacing w:after="0"/>
              <w:rPr>
                <w:rFonts w:ascii="Arial" w:hAnsi="Arial" w:cs="Arial"/>
                <w:b/>
                <w:sz w:val="24"/>
                <w:szCs w:val="24"/>
              </w:rPr>
            </w:pPr>
            <w:r w:rsidRPr="00CA6276">
              <w:rPr>
                <w:rFonts w:ascii="Arial" w:hAnsi="Arial" w:cs="Arial"/>
                <w:b/>
                <w:sz w:val="24"/>
                <w:szCs w:val="24"/>
              </w:rPr>
              <w:t>Compliance Officer – 31 CFR 1029.210</w:t>
            </w:r>
            <w:r w:rsidR="00587D9A" w:rsidRPr="00CA6276">
              <w:rPr>
                <w:rFonts w:ascii="Arial" w:hAnsi="Arial" w:cs="Arial"/>
                <w:b/>
                <w:sz w:val="24"/>
                <w:szCs w:val="24"/>
              </w:rPr>
              <w:t>(b)</w:t>
            </w:r>
            <w:r w:rsidRPr="00CA6276">
              <w:rPr>
                <w:rFonts w:ascii="Arial" w:hAnsi="Arial" w:cs="Arial"/>
                <w:b/>
                <w:sz w:val="24"/>
                <w:szCs w:val="24"/>
              </w:rPr>
              <w:t>(2)</w:t>
            </w:r>
          </w:p>
        </w:tc>
      </w:tr>
      <w:tr w:rsidR="0015383E" w:rsidRPr="00CA6276" w:rsidTr="00C3748E">
        <w:tc>
          <w:tcPr>
            <w:tcW w:w="639" w:type="dxa"/>
          </w:tcPr>
          <w:p w:rsidR="0015383E" w:rsidRPr="00CA6276" w:rsidRDefault="007279F4" w:rsidP="001657F3">
            <w:pPr>
              <w:spacing w:after="0"/>
              <w:rPr>
                <w:rFonts w:ascii="Arial" w:hAnsi="Arial" w:cs="Arial"/>
                <w:sz w:val="24"/>
                <w:szCs w:val="24"/>
              </w:rPr>
            </w:pPr>
            <w:r>
              <w:rPr>
                <w:rFonts w:ascii="Arial" w:hAnsi="Arial" w:cs="Arial"/>
                <w:sz w:val="24"/>
                <w:szCs w:val="24"/>
              </w:rPr>
              <w:t>12</w:t>
            </w:r>
          </w:p>
        </w:tc>
        <w:tc>
          <w:tcPr>
            <w:tcW w:w="3727" w:type="dxa"/>
          </w:tcPr>
          <w:p w:rsidR="0015383E" w:rsidRPr="00CA6276" w:rsidRDefault="00C3748E" w:rsidP="009B3779">
            <w:pPr>
              <w:spacing w:after="0"/>
              <w:rPr>
                <w:rFonts w:ascii="Arial" w:hAnsi="Arial" w:cs="Arial"/>
                <w:sz w:val="24"/>
                <w:szCs w:val="24"/>
              </w:rPr>
            </w:pPr>
            <w:r w:rsidRPr="00CA6276">
              <w:rPr>
                <w:rFonts w:ascii="Arial" w:hAnsi="Arial" w:cs="Arial"/>
                <w:sz w:val="24"/>
                <w:szCs w:val="24"/>
              </w:rPr>
              <w:t xml:space="preserve">Review designation of the Compliance Officer.  The package presented to Senior Management/Board needs to include the resume with a list of jobs and position.  </w:t>
            </w:r>
          </w:p>
        </w:tc>
        <w:tc>
          <w:tcPr>
            <w:tcW w:w="389" w:type="dxa"/>
          </w:tcPr>
          <w:p w:rsidR="0015383E" w:rsidRPr="00CA6276" w:rsidRDefault="0015383E" w:rsidP="001657F3">
            <w:pPr>
              <w:spacing w:after="0"/>
              <w:rPr>
                <w:rFonts w:ascii="Arial" w:hAnsi="Arial" w:cs="Arial"/>
                <w:sz w:val="24"/>
                <w:szCs w:val="24"/>
              </w:rPr>
            </w:pPr>
          </w:p>
        </w:tc>
        <w:tc>
          <w:tcPr>
            <w:tcW w:w="390" w:type="dxa"/>
          </w:tcPr>
          <w:p w:rsidR="0015383E" w:rsidRPr="00CA6276" w:rsidRDefault="0015383E" w:rsidP="001657F3">
            <w:pPr>
              <w:spacing w:after="0"/>
              <w:rPr>
                <w:rFonts w:ascii="Arial" w:hAnsi="Arial" w:cs="Arial"/>
                <w:sz w:val="24"/>
                <w:szCs w:val="24"/>
              </w:rPr>
            </w:pPr>
          </w:p>
        </w:tc>
        <w:tc>
          <w:tcPr>
            <w:tcW w:w="4431" w:type="dxa"/>
          </w:tcPr>
          <w:p w:rsidR="0015383E" w:rsidRPr="00CA6276" w:rsidRDefault="0015383E" w:rsidP="001657F3">
            <w:pPr>
              <w:spacing w:after="0"/>
              <w:rPr>
                <w:rFonts w:ascii="Arial" w:hAnsi="Arial" w:cs="Arial"/>
                <w:sz w:val="24"/>
                <w:szCs w:val="24"/>
              </w:rPr>
            </w:pPr>
          </w:p>
        </w:tc>
      </w:tr>
      <w:tr w:rsidR="0015383E" w:rsidRPr="00CA6276" w:rsidTr="00C3748E">
        <w:tc>
          <w:tcPr>
            <w:tcW w:w="639" w:type="dxa"/>
          </w:tcPr>
          <w:p w:rsidR="0015383E" w:rsidRPr="00CA6276" w:rsidRDefault="007279F4" w:rsidP="001657F3">
            <w:pPr>
              <w:spacing w:after="0"/>
              <w:rPr>
                <w:rFonts w:ascii="Arial" w:hAnsi="Arial" w:cs="Arial"/>
                <w:sz w:val="24"/>
                <w:szCs w:val="24"/>
              </w:rPr>
            </w:pPr>
            <w:r>
              <w:rPr>
                <w:rFonts w:ascii="Arial" w:hAnsi="Arial" w:cs="Arial"/>
                <w:sz w:val="24"/>
                <w:szCs w:val="24"/>
              </w:rPr>
              <w:t>13</w:t>
            </w:r>
          </w:p>
        </w:tc>
        <w:tc>
          <w:tcPr>
            <w:tcW w:w="3727" w:type="dxa"/>
          </w:tcPr>
          <w:p w:rsidR="0015383E" w:rsidRPr="00CA6276" w:rsidRDefault="00C3748E" w:rsidP="001657F3">
            <w:pPr>
              <w:spacing w:after="0"/>
              <w:rPr>
                <w:rFonts w:ascii="Arial" w:hAnsi="Arial" w:cs="Arial"/>
                <w:sz w:val="24"/>
                <w:szCs w:val="24"/>
              </w:rPr>
            </w:pPr>
            <w:r w:rsidRPr="00CA6276">
              <w:rPr>
                <w:rFonts w:ascii="Arial" w:hAnsi="Arial" w:cs="Arial"/>
                <w:sz w:val="24"/>
                <w:szCs w:val="24"/>
              </w:rPr>
              <w:t xml:space="preserve">Review reports prepared for Senior Management/Board and daily performance. </w:t>
            </w:r>
          </w:p>
        </w:tc>
        <w:tc>
          <w:tcPr>
            <w:tcW w:w="389" w:type="dxa"/>
          </w:tcPr>
          <w:p w:rsidR="0015383E" w:rsidRPr="00CA6276" w:rsidRDefault="0015383E" w:rsidP="001657F3">
            <w:pPr>
              <w:spacing w:after="0"/>
              <w:rPr>
                <w:rFonts w:ascii="Arial" w:hAnsi="Arial" w:cs="Arial"/>
                <w:sz w:val="24"/>
                <w:szCs w:val="24"/>
              </w:rPr>
            </w:pPr>
          </w:p>
        </w:tc>
        <w:tc>
          <w:tcPr>
            <w:tcW w:w="390" w:type="dxa"/>
          </w:tcPr>
          <w:p w:rsidR="0015383E" w:rsidRPr="00CA6276" w:rsidRDefault="0015383E" w:rsidP="001657F3">
            <w:pPr>
              <w:spacing w:after="0"/>
              <w:rPr>
                <w:rFonts w:ascii="Arial" w:hAnsi="Arial" w:cs="Arial"/>
                <w:sz w:val="24"/>
                <w:szCs w:val="24"/>
              </w:rPr>
            </w:pPr>
          </w:p>
        </w:tc>
        <w:tc>
          <w:tcPr>
            <w:tcW w:w="4431" w:type="dxa"/>
          </w:tcPr>
          <w:p w:rsidR="0015383E" w:rsidRPr="00CA6276" w:rsidRDefault="0015383E" w:rsidP="001657F3">
            <w:pPr>
              <w:spacing w:after="0"/>
              <w:rPr>
                <w:rFonts w:ascii="Arial" w:hAnsi="Arial" w:cs="Arial"/>
                <w:sz w:val="24"/>
                <w:szCs w:val="24"/>
              </w:rPr>
            </w:pPr>
          </w:p>
        </w:tc>
      </w:tr>
      <w:tr w:rsidR="0015383E" w:rsidRPr="00CA6276" w:rsidTr="00C3748E">
        <w:tc>
          <w:tcPr>
            <w:tcW w:w="639" w:type="dxa"/>
          </w:tcPr>
          <w:p w:rsidR="0015383E" w:rsidRPr="00CA6276" w:rsidRDefault="007279F4" w:rsidP="001657F3">
            <w:pPr>
              <w:spacing w:after="0"/>
              <w:rPr>
                <w:rFonts w:ascii="Arial" w:hAnsi="Arial" w:cs="Arial"/>
                <w:sz w:val="24"/>
                <w:szCs w:val="24"/>
              </w:rPr>
            </w:pPr>
            <w:r>
              <w:rPr>
                <w:rFonts w:ascii="Arial" w:hAnsi="Arial" w:cs="Arial"/>
                <w:sz w:val="24"/>
                <w:szCs w:val="24"/>
              </w:rPr>
              <w:t>14</w:t>
            </w:r>
          </w:p>
        </w:tc>
        <w:tc>
          <w:tcPr>
            <w:tcW w:w="3727" w:type="dxa"/>
          </w:tcPr>
          <w:p w:rsidR="0015383E" w:rsidRPr="00CA6276" w:rsidRDefault="00C3748E" w:rsidP="001657F3">
            <w:pPr>
              <w:spacing w:after="0"/>
              <w:rPr>
                <w:rFonts w:ascii="Arial" w:hAnsi="Arial" w:cs="Arial"/>
                <w:sz w:val="24"/>
                <w:szCs w:val="24"/>
              </w:rPr>
            </w:pPr>
            <w:r w:rsidRPr="00CA6276">
              <w:rPr>
                <w:rFonts w:ascii="Arial" w:hAnsi="Arial" w:cs="Arial"/>
                <w:sz w:val="24"/>
                <w:szCs w:val="24"/>
              </w:rPr>
              <w:t>Assess competency and overview lines of communication with other personnel.</w:t>
            </w:r>
          </w:p>
        </w:tc>
        <w:tc>
          <w:tcPr>
            <w:tcW w:w="389" w:type="dxa"/>
          </w:tcPr>
          <w:p w:rsidR="0015383E" w:rsidRPr="00CA6276" w:rsidRDefault="0015383E" w:rsidP="001657F3">
            <w:pPr>
              <w:spacing w:after="0"/>
              <w:rPr>
                <w:rFonts w:ascii="Arial" w:hAnsi="Arial" w:cs="Arial"/>
                <w:sz w:val="24"/>
                <w:szCs w:val="24"/>
              </w:rPr>
            </w:pPr>
          </w:p>
        </w:tc>
        <w:tc>
          <w:tcPr>
            <w:tcW w:w="390" w:type="dxa"/>
          </w:tcPr>
          <w:p w:rsidR="0015383E" w:rsidRPr="00CA6276" w:rsidRDefault="0015383E" w:rsidP="001657F3">
            <w:pPr>
              <w:spacing w:after="0"/>
              <w:rPr>
                <w:rFonts w:ascii="Arial" w:hAnsi="Arial" w:cs="Arial"/>
                <w:sz w:val="24"/>
                <w:szCs w:val="24"/>
              </w:rPr>
            </w:pPr>
          </w:p>
        </w:tc>
        <w:tc>
          <w:tcPr>
            <w:tcW w:w="4431" w:type="dxa"/>
          </w:tcPr>
          <w:p w:rsidR="0015383E" w:rsidRPr="00CA6276" w:rsidRDefault="0015383E" w:rsidP="001657F3">
            <w:pPr>
              <w:spacing w:after="0"/>
              <w:rPr>
                <w:rFonts w:ascii="Arial" w:hAnsi="Arial" w:cs="Arial"/>
                <w:sz w:val="24"/>
                <w:szCs w:val="24"/>
              </w:rPr>
            </w:pPr>
          </w:p>
        </w:tc>
      </w:tr>
      <w:tr w:rsidR="0015383E" w:rsidRPr="00CA6276" w:rsidTr="00C3748E">
        <w:tc>
          <w:tcPr>
            <w:tcW w:w="639" w:type="dxa"/>
          </w:tcPr>
          <w:p w:rsidR="0015383E" w:rsidRPr="00CA6276" w:rsidRDefault="007279F4" w:rsidP="001657F3">
            <w:pPr>
              <w:spacing w:after="0"/>
              <w:rPr>
                <w:rFonts w:ascii="Arial" w:hAnsi="Arial" w:cs="Arial"/>
                <w:sz w:val="24"/>
                <w:szCs w:val="24"/>
              </w:rPr>
            </w:pPr>
            <w:r>
              <w:rPr>
                <w:rFonts w:ascii="Arial" w:hAnsi="Arial" w:cs="Arial"/>
                <w:sz w:val="24"/>
                <w:szCs w:val="24"/>
              </w:rPr>
              <w:t>15</w:t>
            </w:r>
          </w:p>
        </w:tc>
        <w:tc>
          <w:tcPr>
            <w:tcW w:w="3727" w:type="dxa"/>
          </w:tcPr>
          <w:p w:rsidR="0015383E" w:rsidRPr="00CA6276" w:rsidRDefault="00C3748E" w:rsidP="001657F3">
            <w:pPr>
              <w:spacing w:after="0"/>
              <w:rPr>
                <w:rFonts w:ascii="Arial" w:hAnsi="Arial" w:cs="Arial"/>
                <w:sz w:val="24"/>
                <w:szCs w:val="24"/>
              </w:rPr>
            </w:pPr>
            <w:r w:rsidRPr="00CA6276">
              <w:rPr>
                <w:rFonts w:ascii="Arial" w:hAnsi="Arial" w:cs="Arial"/>
                <w:sz w:val="24"/>
                <w:szCs w:val="24"/>
              </w:rPr>
              <w:t xml:space="preserve">Review if the BSA area is </w:t>
            </w:r>
            <w:r w:rsidRPr="00CA6276">
              <w:rPr>
                <w:rFonts w:ascii="Arial" w:hAnsi="Arial" w:cs="Arial"/>
                <w:sz w:val="24"/>
                <w:szCs w:val="24"/>
              </w:rPr>
              <w:lastRenderedPageBreak/>
              <w:t xml:space="preserve">reasonably staffed for the risk profile due to types of loans offered and any other additional services. </w:t>
            </w:r>
          </w:p>
        </w:tc>
        <w:tc>
          <w:tcPr>
            <w:tcW w:w="389" w:type="dxa"/>
          </w:tcPr>
          <w:p w:rsidR="0015383E" w:rsidRPr="00CA6276" w:rsidRDefault="0015383E" w:rsidP="001657F3">
            <w:pPr>
              <w:spacing w:after="0"/>
              <w:rPr>
                <w:rFonts w:ascii="Arial" w:hAnsi="Arial" w:cs="Arial"/>
                <w:sz w:val="24"/>
                <w:szCs w:val="24"/>
              </w:rPr>
            </w:pPr>
          </w:p>
        </w:tc>
        <w:tc>
          <w:tcPr>
            <w:tcW w:w="390" w:type="dxa"/>
          </w:tcPr>
          <w:p w:rsidR="0015383E" w:rsidRPr="00CA6276" w:rsidRDefault="0015383E" w:rsidP="001657F3">
            <w:pPr>
              <w:spacing w:after="0"/>
              <w:rPr>
                <w:rFonts w:ascii="Arial" w:hAnsi="Arial" w:cs="Arial"/>
                <w:sz w:val="24"/>
                <w:szCs w:val="24"/>
              </w:rPr>
            </w:pPr>
          </w:p>
        </w:tc>
        <w:tc>
          <w:tcPr>
            <w:tcW w:w="4431" w:type="dxa"/>
          </w:tcPr>
          <w:p w:rsidR="0015383E" w:rsidRPr="00CA6276" w:rsidRDefault="0015383E" w:rsidP="001657F3">
            <w:pPr>
              <w:spacing w:after="0"/>
              <w:rPr>
                <w:rFonts w:ascii="Arial" w:hAnsi="Arial" w:cs="Arial"/>
                <w:sz w:val="24"/>
                <w:szCs w:val="24"/>
              </w:rPr>
            </w:pPr>
          </w:p>
        </w:tc>
      </w:tr>
      <w:tr w:rsidR="0015383E" w:rsidRPr="00CA6276" w:rsidTr="00C3748E">
        <w:tc>
          <w:tcPr>
            <w:tcW w:w="639" w:type="dxa"/>
          </w:tcPr>
          <w:p w:rsidR="0015383E" w:rsidRPr="00CA6276" w:rsidRDefault="007279F4" w:rsidP="001657F3">
            <w:pPr>
              <w:spacing w:after="0"/>
              <w:rPr>
                <w:rFonts w:ascii="Arial" w:hAnsi="Arial" w:cs="Arial"/>
                <w:sz w:val="24"/>
                <w:szCs w:val="24"/>
              </w:rPr>
            </w:pPr>
            <w:r>
              <w:rPr>
                <w:rFonts w:ascii="Arial" w:hAnsi="Arial" w:cs="Arial"/>
                <w:sz w:val="24"/>
                <w:szCs w:val="24"/>
              </w:rPr>
              <w:lastRenderedPageBreak/>
              <w:t>16</w:t>
            </w:r>
          </w:p>
        </w:tc>
        <w:tc>
          <w:tcPr>
            <w:tcW w:w="3727" w:type="dxa"/>
          </w:tcPr>
          <w:p w:rsidR="0015383E" w:rsidRPr="00CA6276" w:rsidRDefault="00C3748E" w:rsidP="001657F3">
            <w:pPr>
              <w:spacing w:after="0"/>
              <w:rPr>
                <w:rFonts w:ascii="Arial" w:hAnsi="Arial" w:cs="Arial"/>
                <w:sz w:val="24"/>
                <w:szCs w:val="24"/>
              </w:rPr>
            </w:pPr>
            <w:r w:rsidRPr="00CA6276">
              <w:rPr>
                <w:rFonts w:ascii="Arial" w:hAnsi="Arial" w:cs="Arial"/>
                <w:sz w:val="24"/>
                <w:szCs w:val="24"/>
              </w:rPr>
              <w:t xml:space="preserve">Review reports presented to Senior Management/Board. </w:t>
            </w:r>
          </w:p>
        </w:tc>
        <w:tc>
          <w:tcPr>
            <w:tcW w:w="389" w:type="dxa"/>
          </w:tcPr>
          <w:p w:rsidR="0015383E" w:rsidRPr="00CA6276" w:rsidRDefault="0015383E" w:rsidP="001657F3">
            <w:pPr>
              <w:spacing w:after="0"/>
              <w:rPr>
                <w:rFonts w:ascii="Arial" w:hAnsi="Arial" w:cs="Arial"/>
                <w:sz w:val="24"/>
                <w:szCs w:val="24"/>
              </w:rPr>
            </w:pPr>
          </w:p>
        </w:tc>
        <w:tc>
          <w:tcPr>
            <w:tcW w:w="390" w:type="dxa"/>
          </w:tcPr>
          <w:p w:rsidR="0015383E" w:rsidRPr="00CA6276" w:rsidRDefault="0015383E" w:rsidP="001657F3">
            <w:pPr>
              <w:spacing w:after="0"/>
              <w:rPr>
                <w:rFonts w:ascii="Arial" w:hAnsi="Arial" w:cs="Arial"/>
                <w:sz w:val="24"/>
                <w:szCs w:val="24"/>
              </w:rPr>
            </w:pPr>
          </w:p>
        </w:tc>
        <w:tc>
          <w:tcPr>
            <w:tcW w:w="4431" w:type="dxa"/>
          </w:tcPr>
          <w:p w:rsidR="0015383E" w:rsidRPr="00CA6276" w:rsidRDefault="0015383E" w:rsidP="001657F3">
            <w:pPr>
              <w:spacing w:after="0"/>
              <w:rPr>
                <w:rFonts w:ascii="Arial" w:hAnsi="Arial" w:cs="Arial"/>
                <w:sz w:val="24"/>
                <w:szCs w:val="24"/>
              </w:rPr>
            </w:pPr>
          </w:p>
        </w:tc>
      </w:tr>
      <w:tr w:rsidR="0015383E" w:rsidRPr="00CA6276" w:rsidTr="00C3748E">
        <w:tc>
          <w:tcPr>
            <w:tcW w:w="9576" w:type="dxa"/>
            <w:gridSpan w:val="5"/>
            <w:shd w:val="clear" w:color="auto" w:fill="D9D9D9"/>
          </w:tcPr>
          <w:p w:rsidR="0015383E" w:rsidRPr="00CA6276" w:rsidRDefault="0015383E" w:rsidP="001657F3">
            <w:pPr>
              <w:spacing w:after="0"/>
              <w:rPr>
                <w:rFonts w:ascii="Arial" w:hAnsi="Arial" w:cs="Arial"/>
                <w:b/>
                <w:sz w:val="24"/>
                <w:szCs w:val="24"/>
              </w:rPr>
            </w:pPr>
            <w:r w:rsidRPr="00CA6276">
              <w:rPr>
                <w:rFonts w:ascii="Arial" w:hAnsi="Arial" w:cs="Arial"/>
                <w:b/>
                <w:sz w:val="24"/>
                <w:szCs w:val="24"/>
              </w:rPr>
              <w:t>Training Program – 31 CFR 1029.210(b)(3)</w:t>
            </w:r>
          </w:p>
        </w:tc>
      </w:tr>
      <w:tr w:rsidR="0015383E" w:rsidRPr="00CA6276" w:rsidTr="00C3748E">
        <w:tc>
          <w:tcPr>
            <w:tcW w:w="639" w:type="dxa"/>
          </w:tcPr>
          <w:p w:rsidR="0015383E" w:rsidRPr="00CA6276" w:rsidRDefault="007279F4" w:rsidP="001657F3">
            <w:pPr>
              <w:spacing w:after="0"/>
              <w:rPr>
                <w:rFonts w:ascii="Arial" w:hAnsi="Arial" w:cs="Arial"/>
                <w:sz w:val="24"/>
                <w:szCs w:val="24"/>
              </w:rPr>
            </w:pPr>
            <w:r>
              <w:rPr>
                <w:rFonts w:ascii="Arial" w:hAnsi="Arial" w:cs="Arial"/>
                <w:sz w:val="24"/>
                <w:szCs w:val="24"/>
              </w:rPr>
              <w:t>17</w:t>
            </w:r>
          </w:p>
        </w:tc>
        <w:tc>
          <w:tcPr>
            <w:tcW w:w="3727" w:type="dxa"/>
          </w:tcPr>
          <w:p w:rsidR="0015383E" w:rsidRPr="00CA6276" w:rsidRDefault="00C3748E" w:rsidP="007279F4">
            <w:pPr>
              <w:spacing w:after="0"/>
              <w:rPr>
                <w:rFonts w:ascii="Arial" w:hAnsi="Arial" w:cs="Arial"/>
                <w:sz w:val="24"/>
                <w:szCs w:val="24"/>
              </w:rPr>
            </w:pPr>
            <w:r w:rsidRPr="00CA6276">
              <w:rPr>
                <w:rFonts w:ascii="Arial" w:hAnsi="Arial" w:cs="Arial"/>
                <w:sz w:val="24"/>
                <w:szCs w:val="24"/>
              </w:rPr>
              <w:t xml:space="preserve">Request and review the training program; what is included, dates given and attendance.  </w:t>
            </w:r>
          </w:p>
        </w:tc>
        <w:tc>
          <w:tcPr>
            <w:tcW w:w="389" w:type="dxa"/>
          </w:tcPr>
          <w:p w:rsidR="0015383E" w:rsidRPr="00CA6276" w:rsidRDefault="0015383E" w:rsidP="001657F3">
            <w:pPr>
              <w:spacing w:after="0"/>
              <w:rPr>
                <w:rFonts w:ascii="Arial" w:hAnsi="Arial" w:cs="Arial"/>
                <w:sz w:val="24"/>
                <w:szCs w:val="24"/>
              </w:rPr>
            </w:pPr>
          </w:p>
        </w:tc>
        <w:tc>
          <w:tcPr>
            <w:tcW w:w="390" w:type="dxa"/>
          </w:tcPr>
          <w:p w:rsidR="0015383E" w:rsidRPr="00CA6276" w:rsidRDefault="0015383E" w:rsidP="001657F3">
            <w:pPr>
              <w:spacing w:after="0"/>
              <w:rPr>
                <w:rFonts w:ascii="Arial" w:hAnsi="Arial" w:cs="Arial"/>
                <w:sz w:val="24"/>
                <w:szCs w:val="24"/>
              </w:rPr>
            </w:pPr>
          </w:p>
        </w:tc>
        <w:tc>
          <w:tcPr>
            <w:tcW w:w="4431" w:type="dxa"/>
          </w:tcPr>
          <w:p w:rsidR="0015383E" w:rsidRPr="00CA6276" w:rsidRDefault="0015383E" w:rsidP="001657F3">
            <w:pPr>
              <w:spacing w:after="0"/>
              <w:rPr>
                <w:rFonts w:ascii="Arial" w:hAnsi="Arial" w:cs="Arial"/>
                <w:sz w:val="24"/>
                <w:szCs w:val="24"/>
              </w:rPr>
            </w:pPr>
          </w:p>
        </w:tc>
      </w:tr>
      <w:tr w:rsidR="007279F4" w:rsidRPr="00CA6276" w:rsidTr="00C3748E">
        <w:tc>
          <w:tcPr>
            <w:tcW w:w="639" w:type="dxa"/>
          </w:tcPr>
          <w:p w:rsidR="007279F4" w:rsidRDefault="007279F4" w:rsidP="001657F3">
            <w:pPr>
              <w:spacing w:after="0"/>
              <w:rPr>
                <w:rFonts w:ascii="Arial" w:hAnsi="Arial" w:cs="Arial"/>
                <w:sz w:val="24"/>
                <w:szCs w:val="24"/>
              </w:rPr>
            </w:pPr>
            <w:r>
              <w:rPr>
                <w:rFonts w:ascii="Arial" w:hAnsi="Arial" w:cs="Arial"/>
                <w:sz w:val="24"/>
                <w:szCs w:val="24"/>
              </w:rPr>
              <w:t>18</w:t>
            </w:r>
          </w:p>
        </w:tc>
        <w:tc>
          <w:tcPr>
            <w:tcW w:w="3727" w:type="dxa"/>
          </w:tcPr>
          <w:p w:rsidR="007279F4" w:rsidRPr="00CA6276" w:rsidRDefault="007279F4" w:rsidP="001657F3">
            <w:pPr>
              <w:spacing w:after="0"/>
              <w:rPr>
                <w:rFonts w:ascii="Arial" w:hAnsi="Arial" w:cs="Arial"/>
                <w:sz w:val="24"/>
                <w:szCs w:val="24"/>
              </w:rPr>
            </w:pPr>
            <w:r>
              <w:rPr>
                <w:rFonts w:ascii="Arial" w:hAnsi="Arial" w:cs="Arial"/>
                <w:sz w:val="24"/>
                <w:szCs w:val="24"/>
              </w:rPr>
              <w:t>Review how staff competency is measured (testing, test score) and targeted training as necessary.</w:t>
            </w:r>
          </w:p>
        </w:tc>
        <w:tc>
          <w:tcPr>
            <w:tcW w:w="389" w:type="dxa"/>
          </w:tcPr>
          <w:p w:rsidR="007279F4" w:rsidRPr="00CA6276" w:rsidRDefault="007279F4" w:rsidP="001657F3">
            <w:pPr>
              <w:spacing w:after="0"/>
              <w:rPr>
                <w:rFonts w:ascii="Arial" w:hAnsi="Arial" w:cs="Arial"/>
                <w:sz w:val="24"/>
                <w:szCs w:val="24"/>
              </w:rPr>
            </w:pPr>
          </w:p>
        </w:tc>
        <w:tc>
          <w:tcPr>
            <w:tcW w:w="390" w:type="dxa"/>
          </w:tcPr>
          <w:p w:rsidR="007279F4" w:rsidRPr="00CA6276" w:rsidRDefault="007279F4" w:rsidP="001657F3">
            <w:pPr>
              <w:spacing w:after="0"/>
              <w:rPr>
                <w:rFonts w:ascii="Arial" w:hAnsi="Arial" w:cs="Arial"/>
                <w:sz w:val="24"/>
                <w:szCs w:val="24"/>
              </w:rPr>
            </w:pPr>
          </w:p>
        </w:tc>
        <w:tc>
          <w:tcPr>
            <w:tcW w:w="4431" w:type="dxa"/>
          </w:tcPr>
          <w:p w:rsidR="007279F4" w:rsidRPr="00CA6276" w:rsidRDefault="007279F4" w:rsidP="001657F3">
            <w:pPr>
              <w:spacing w:after="0"/>
              <w:rPr>
                <w:rFonts w:ascii="Arial" w:hAnsi="Arial" w:cs="Arial"/>
                <w:sz w:val="24"/>
                <w:szCs w:val="24"/>
              </w:rPr>
            </w:pPr>
          </w:p>
        </w:tc>
      </w:tr>
      <w:tr w:rsidR="0015383E" w:rsidRPr="00CA6276" w:rsidTr="00C3748E">
        <w:tc>
          <w:tcPr>
            <w:tcW w:w="639" w:type="dxa"/>
          </w:tcPr>
          <w:p w:rsidR="0015383E" w:rsidRPr="00CA6276" w:rsidRDefault="007279F4" w:rsidP="001657F3">
            <w:pPr>
              <w:spacing w:after="0"/>
              <w:rPr>
                <w:rFonts w:ascii="Arial" w:hAnsi="Arial" w:cs="Arial"/>
                <w:sz w:val="24"/>
                <w:szCs w:val="24"/>
              </w:rPr>
            </w:pPr>
            <w:r>
              <w:rPr>
                <w:rFonts w:ascii="Arial" w:hAnsi="Arial" w:cs="Arial"/>
                <w:sz w:val="24"/>
                <w:szCs w:val="24"/>
              </w:rPr>
              <w:t>19</w:t>
            </w:r>
          </w:p>
        </w:tc>
        <w:tc>
          <w:tcPr>
            <w:tcW w:w="3727" w:type="dxa"/>
          </w:tcPr>
          <w:p w:rsidR="0015383E" w:rsidRPr="00CA6276" w:rsidRDefault="00C3748E" w:rsidP="001657F3">
            <w:pPr>
              <w:spacing w:after="0"/>
              <w:rPr>
                <w:rFonts w:ascii="Arial" w:hAnsi="Arial" w:cs="Arial"/>
                <w:sz w:val="24"/>
                <w:szCs w:val="24"/>
              </w:rPr>
            </w:pPr>
            <w:r w:rsidRPr="00CA6276">
              <w:rPr>
                <w:rFonts w:ascii="Arial" w:hAnsi="Arial" w:cs="Arial"/>
                <w:sz w:val="24"/>
                <w:szCs w:val="24"/>
              </w:rPr>
              <w:t>Review attendance of Senior Management/Board members and/or owner.</w:t>
            </w:r>
          </w:p>
        </w:tc>
        <w:tc>
          <w:tcPr>
            <w:tcW w:w="389" w:type="dxa"/>
          </w:tcPr>
          <w:p w:rsidR="0015383E" w:rsidRPr="00CA6276" w:rsidRDefault="0015383E" w:rsidP="001657F3">
            <w:pPr>
              <w:spacing w:after="0"/>
              <w:rPr>
                <w:rFonts w:ascii="Arial" w:hAnsi="Arial" w:cs="Arial"/>
                <w:sz w:val="24"/>
                <w:szCs w:val="24"/>
              </w:rPr>
            </w:pPr>
          </w:p>
        </w:tc>
        <w:tc>
          <w:tcPr>
            <w:tcW w:w="390" w:type="dxa"/>
          </w:tcPr>
          <w:p w:rsidR="0015383E" w:rsidRPr="00CA6276" w:rsidRDefault="0015383E" w:rsidP="001657F3">
            <w:pPr>
              <w:spacing w:after="0"/>
              <w:rPr>
                <w:rFonts w:ascii="Arial" w:hAnsi="Arial" w:cs="Arial"/>
                <w:sz w:val="24"/>
                <w:szCs w:val="24"/>
              </w:rPr>
            </w:pPr>
          </w:p>
        </w:tc>
        <w:tc>
          <w:tcPr>
            <w:tcW w:w="4431" w:type="dxa"/>
          </w:tcPr>
          <w:p w:rsidR="0015383E" w:rsidRPr="00CA6276" w:rsidRDefault="0015383E" w:rsidP="001657F3">
            <w:pPr>
              <w:spacing w:after="0"/>
              <w:rPr>
                <w:rFonts w:ascii="Arial" w:hAnsi="Arial" w:cs="Arial"/>
                <w:sz w:val="24"/>
                <w:szCs w:val="24"/>
              </w:rPr>
            </w:pPr>
          </w:p>
        </w:tc>
      </w:tr>
      <w:tr w:rsidR="0015383E" w:rsidRPr="00CA6276" w:rsidTr="00C3748E">
        <w:tc>
          <w:tcPr>
            <w:tcW w:w="639" w:type="dxa"/>
          </w:tcPr>
          <w:p w:rsidR="0015383E" w:rsidRPr="00CA6276" w:rsidRDefault="007279F4" w:rsidP="001657F3">
            <w:pPr>
              <w:spacing w:after="0"/>
              <w:rPr>
                <w:rFonts w:ascii="Arial" w:hAnsi="Arial" w:cs="Arial"/>
                <w:sz w:val="24"/>
                <w:szCs w:val="24"/>
              </w:rPr>
            </w:pPr>
            <w:r>
              <w:rPr>
                <w:rFonts w:ascii="Arial" w:hAnsi="Arial" w:cs="Arial"/>
                <w:sz w:val="24"/>
                <w:szCs w:val="24"/>
              </w:rPr>
              <w:t>20</w:t>
            </w:r>
          </w:p>
        </w:tc>
        <w:tc>
          <w:tcPr>
            <w:tcW w:w="3727" w:type="dxa"/>
          </w:tcPr>
          <w:p w:rsidR="00C3748E" w:rsidRPr="00CA6276" w:rsidRDefault="00C3748E" w:rsidP="001657F3">
            <w:pPr>
              <w:spacing w:after="0"/>
              <w:rPr>
                <w:rFonts w:ascii="Arial" w:hAnsi="Arial" w:cs="Arial"/>
                <w:sz w:val="24"/>
                <w:szCs w:val="24"/>
              </w:rPr>
            </w:pPr>
            <w:r w:rsidRPr="00CA6276">
              <w:rPr>
                <w:rFonts w:ascii="Arial" w:hAnsi="Arial" w:cs="Arial"/>
                <w:sz w:val="24"/>
                <w:szCs w:val="24"/>
              </w:rPr>
              <w:t>Utilize discussions with RMLO managers as needed to gather information and discuss procedures and practices followed by institution’s personnel to ensure compliance with laws and regulations.</w:t>
            </w:r>
          </w:p>
        </w:tc>
        <w:tc>
          <w:tcPr>
            <w:tcW w:w="389" w:type="dxa"/>
          </w:tcPr>
          <w:p w:rsidR="0015383E" w:rsidRPr="00CA6276" w:rsidRDefault="0015383E" w:rsidP="001657F3">
            <w:pPr>
              <w:spacing w:after="0"/>
              <w:rPr>
                <w:rFonts w:ascii="Arial" w:hAnsi="Arial" w:cs="Arial"/>
                <w:sz w:val="24"/>
                <w:szCs w:val="24"/>
              </w:rPr>
            </w:pPr>
          </w:p>
        </w:tc>
        <w:tc>
          <w:tcPr>
            <w:tcW w:w="390" w:type="dxa"/>
          </w:tcPr>
          <w:p w:rsidR="0015383E" w:rsidRPr="00CA6276" w:rsidRDefault="0015383E" w:rsidP="001657F3">
            <w:pPr>
              <w:spacing w:after="0"/>
              <w:rPr>
                <w:rFonts w:ascii="Arial" w:hAnsi="Arial" w:cs="Arial"/>
                <w:sz w:val="24"/>
                <w:szCs w:val="24"/>
              </w:rPr>
            </w:pPr>
          </w:p>
        </w:tc>
        <w:tc>
          <w:tcPr>
            <w:tcW w:w="4431" w:type="dxa"/>
          </w:tcPr>
          <w:p w:rsidR="0015383E" w:rsidRPr="00CA6276" w:rsidRDefault="0015383E" w:rsidP="001657F3">
            <w:pPr>
              <w:spacing w:after="0"/>
              <w:rPr>
                <w:rFonts w:ascii="Arial" w:hAnsi="Arial" w:cs="Arial"/>
                <w:sz w:val="24"/>
                <w:szCs w:val="24"/>
              </w:rPr>
            </w:pPr>
          </w:p>
        </w:tc>
      </w:tr>
      <w:tr w:rsidR="0015383E" w:rsidRPr="00CA6276" w:rsidTr="00C3748E">
        <w:tc>
          <w:tcPr>
            <w:tcW w:w="639" w:type="dxa"/>
          </w:tcPr>
          <w:p w:rsidR="0015383E" w:rsidRPr="00CA6276" w:rsidRDefault="007279F4" w:rsidP="001657F3">
            <w:pPr>
              <w:spacing w:after="0"/>
              <w:rPr>
                <w:rFonts w:ascii="Arial" w:hAnsi="Arial" w:cs="Arial"/>
                <w:sz w:val="24"/>
                <w:szCs w:val="24"/>
              </w:rPr>
            </w:pPr>
            <w:r>
              <w:rPr>
                <w:rFonts w:ascii="Arial" w:hAnsi="Arial" w:cs="Arial"/>
                <w:sz w:val="24"/>
                <w:szCs w:val="24"/>
              </w:rPr>
              <w:t>21</w:t>
            </w:r>
          </w:p>
        </w:tc>
        <w:tc>
          <w:tcPr>
            <w:tcW w:w="3727" w:type="dxa"/>
          </w:tcPr>
          <w:p w:rsidR="00C3748E" w:rsidRPr="00CA6276" w:rsidRDefault="00C3748E" w:rsidP="001657F3">
            <w:pPr>
              <w:spacing w:after="0"/>
              <w:rPr>
                <w:rFonts w:ascii="Arial" w:hAnsi="Arial" w:cs="Arial"/>
                <w:sz w:val="24"/>
                <w:szCs w:val="24"/>
              </w:rPr>
            </w:pPr>
            <w:r w:rsidRPr="00CA6276">
              <w:rPr>
                <w:rFonts w:ascii="Arial" w:hAnsi="Arial" w:cs="Arial"/>
                <w:sz w:val="24"/>
                <w:szCs w:val="24"/>
              </w:rPr>
              <w:t xml:space="preserve">Review documentation of training given to Senior Management, members of the Board, </w:t>
            </w:r>
            <w:r w:rsidR="00587D9A" w:rsidRPr="00CA6276">
              <w:rPr>
                <w:rFonts w:ascii="Arial" w:hAnsi="Arial" w:cs="Arial"/>
                <w:sz w:val="24"/>
                <w:szCs w:val="24"/>
              </w:rPr>
              <w:t>and/</w:t>
            </w:r>
            <w:r w:rsidRPr="00CA6276">
              <w:rPr>
                <w:rFonts w:ascii="Arial" w:hAnsi="Arial" w:cs="Arial"/>
                <w:sz w:val="24"/>
                <w:szCs w:val="24"/>
              </w:rPr>
              <w:t>or owner.</w:t>
            </w:r>
          </w:p>
        </w:tc>
        <w:tc>
          <w:tcPr>
            <w:tcW w:w="389" w:type="dxa"/>
          </w:tcPr>
          <w:p w:rsidR="0015383E" w:rsidRPr="00CA6276" w:rsidRDefault="0015383E" w:rsidP="001657F3">
            <w:pPr>
              <w:spacing w:after="0"/>
              <w:rPr>
                <w:rFonts w:ascii="Arial" w:hAnsi="Arial" w:cs="Arial"/>
                <w:sz w:val="24"/>
                <w:szCs w:val="24"/>
              </w:rPr>
            </w:pPr>
          </w:p>
        </w:tc>
        <w:tc>
          <w:tcPr>
            <w:tcW w:w="390" w:type="dxa"/>
          </w:tcPr>
          <w:p w:rsidR="0015383E" w:rsidRPr="00CA6276" w:rsidRDefault="0015383E" w:rsidP="001657F3">
            <w:pPr>
              <w:spacing w:after="0"/>
              <w:rPr>
                <w:rFonts w:ascii="Arial" w:hAnsi="Arial" w:cs="Arial"/>
                <w:sz w:val="24"/>
                <w:szCs w:val="24"/>
              </w:rPr>
            </w:pPr>
          </w:p>
        </w:tc>
        <w:tc>
          <w:tcPr>
            <w:tcW w:w="4431" w:type="dxa"/>
          </w:tcPr>
          <w:p w:rsidR="0015383E" w:rsidRPr="00CA6276" w:rsidRDefault="0015383E" w:rsidP="001657F3">
            <w:pPr>
              <w:spacing w:after="0"/>
              <w:rPr>
                <w:rFonts w:ascii="Arial" w:hAnsi="Arial" w:cs="Arial"/>
                <w:sz w:val="24"/>
                <w:szCs w:val="24"/>
              </w:rPr>
            </w:pPr>
          </w:p>
        </w:tc>
      </w:tr>
      <w:tr w:rsidR="0015383E" w:rsidRPr="00CA6276" w:rsidTr="00C3748E">
        <w:tc>
          <w:tcPr>
            <w:tcW w:w="639" w:type="dxa"/>
          </w:tcPr>
          <w:p w:rsidR="0015383E" w:rsidRPr="00CA6276" w:rsidRDefault="007279F4" w:rsidP="001657F3">
            <w:pPr>
              <w:spacing w:after="0"/>
              <w:rPr>
                <w:rFonts w:ascii="Arial" w:hAnsi="Arial" w:cs="Arial"/>
                <w:sz w:val="24"/>
                <w:szCs w:val="24"/>
              </w:rPr>
            </w:pPr>
            <w:r>
              <w:rPr>
                <w:rFonts w:ascii="Arial" w:hAnsi="Arial" w:cs="Arial"/>
                <w:sz w:val="24"/>
                <w:szCs w:val="24"/>
              </w:rPr>
              <w:t>22</w:t>
            </w:r>
          </w:p>
        </w:tc>
        <w:tc>
          <w:tcPr>
            <w:tcW w:w="3727" w:type="dxa"/>
          </w:tcPr>
          <w:p w:rsidR="00C3748E" w:rsidRPr="00CA6276" w:rsidRDefault="00C3748E" w:rsidP="001657F3">
            <w:pPr>
              <w:spacing w:after="0"/>
              <w:rPr>
                <w:rFonts w:ascii="Arial" w:hAnsi="Arial" w:cs="Arial"/>
                <w:sz w:val="24"/>
                <w:szCs w:val="24"/>
              </w:rPr>
            </w:pPr>
            <w:r w:rsidRPr="00CA6276">
              <w:rPr>
                <w:rFonts w:ascii="Arial" w:hAnsi="Arial" w:cs="Arial"/>
                <w:sz w:val="24"/>
                <w:szCs w:val="24"/>
              </w:rPr>
              <w:t xml:space="preserve">Review coverage of different scenarios of money laundering, fraud in mortgage transactions and examples of suspicious activities. </w:t>
            </w:r>
          </w:p>
        </w:tc>
        <w:tc>
          <w:tcPr>
            <w:tcW w:w="389" w:type="dxa"/>
          </w:tcPr>
          <w:p w:rsidR="0015383E" w:rsidRPr="00CA6276" w:rsidRDefault="0015383E" w:rsidP="001657F3">
            <w:pPr>
              <w:spacing w:after="0"/>
              <w:rPr>
                <w:rFonts w:ascii="Arial" w:hAnsi="Arial" w:cs="Arial"/>
                <w:sz w:val="24"/>
                <w:szCs w:val="24"/>
              </w:rPr>
            </w:pPr>
          </w:p>
        </w:tc>
        <w:tc>
          <w:tcPr>
            <w:tcW w:w="390" w:type="dxa"/>
          </w:tcPr>
          <w:p w:rsidR="0015383E" w:rsidRPr="00CA6276" w:rsidRDefault="0015383E" w:rsidP="001657F3">
            <w:pPr>
              <w:spacing w:after="0"/>
              <w:rPr>
                <w:rFonts w:ascii="Arial" w:hAnsi="Arial" w:cs="Arial"/>
                <w:sz w:val="24"/>
                <w:szCs w:val="24"/>
              </w:rPr>
            </w:pPr>
          </w:p>
        </w:tc>
        <w:tc>
          <w:tcPr>
            <w:tcW w:w="4431" w:type="dxa"/>
          </w:tcPr>
          <w:p w:rsidR="0015383E" w:rsidRPr="00CA6276" w:rsidRDefault="0015383E" w:rsidP="001657F3">
            <w:pPr>
              <w:spacing w:after="0"/>
              <w:rPr>
                <w:rFonts w:ascii="Arial" w:hAnsi="Arial" w:cs="Arial"/>
                <w:sz w:val="24"/>
                <w:szCs w:val="24"/>
              </w:rPr>
            </w:pPr>
          </w:p>
        </w:tc>
      </w:tr>
      <w:tr w:rsidR="0015383E" w:rsidRPr="00CA6276" w:rsidTr="00C3748E">
        <w:tc>
          <w:tcPr>
            <w:tcW w:w="639" w:type="dxa"/>
          </w:tcPr>
          <w:p w:rsidR="0015383E" w:rsidRPr="00CA6276" w:rsidRDefault="007279F4" w:rsidP="001657F3">
            <w:pPr>
              <w:spacing w:after="0"/>
              <w:rPr>
                <w:rFonts w:ascii="Arial" w:hAnsi="Arial" w:cs="Arial"/>
                <w:sz w:val="24"/>
                <w:szCs w:val="24"/>
              </w:rPr>
            </w:pPr>
            <w:r>
              <w:rPr>
                <w:rFonts w:ascii="Arial" w:hAnsi="Arial" w:cs="Arial"/>
                <w:sz w:val="24"/>
                <w:szCs w:val="24"/>
              </w:rPr>
              <w:t>23</w:t>
            </w:r>
          </w:p>
        </w:tc>
        <w:tc>
          <w:tcPr>
            <w:tcW w:w="3727" w:type="dxa"/>
          </w:tcPr>
          <w:p w:rsidR="00C3748E" w:rsidRPr="00CA6276" w:rsidRDefault="00C3748E" w:rsidP="001657F3">
            <w:pPr>
              <w:spacing w:after="0"/>
              <w:rPr>
                <w:rFonts w:ascii="Arial" w:hAnsi="Arial" w:cs="Arial"/>
                <w:sz w:val="24"/>
                <w:szCs w:val="24"/>
              </w:rPr>
            </w:pPr>
            <w:r w:rsidRPr="00CA6276">
              <w:rPr>
                <w:rFonts w:ascii="Arial" w:hAnsi="Arial" w:cs="Arial"/>
                <w:sz w:val="24"/>
                <w:szCs w:val="24"/>
              </w:rPr>
              <w:t>Examiners should determine if the following elements are addressed in the training program and materials:</w:t>
            </w:r>
          </w:p>
          <w:p w:rsidR="0015383E" w:rsidRPr="00CA6276" w:rsidRDefault="0015383E" w:rsidP="001657F3">
            <w:pPr>
              <w:numPr>
                <w:ilvl w:val="0"/>
                <w:numId w:val="22"/>
              </w:numPr>
              <w:spacing w:after="0"/>
              <w:ind w:left="621"/>
              <w:rPr>
                <w:rFonts w:ascii="Arial" w:hAnsi="Arial" w:cs="Arial"/>
                <w:sz w:val="24"/>
                <w:szCs w:val="24"/>
              </w:rPr>
            </w:pPr>
            <w:r w:rsidRPr="00CA6276">
              <w:rPr>
                <w:rFonts w:ascii="Arial" w:hAnsi="Arial" w:cs="Arial"/>
                <w:sz w:val="24"/>
                <w:szCs w:val="24"/>
              </w:rPr>
              <w:t>Training frequency is specified</w:t>
            </w:r>
          </w:p>
          <w:p w:rsidR="0015383E" w:rsidRPr="00CA6276" w:rsidRDefault="0015383E" w:rsidP="001657F3">
            <w:pPr>
              <w:numPr>
                <w:ilvl w:val="0"/>
                <w:numId w:val="22"/>
              </w:numPr>
              <w:spacing w:after="0"/>
              <w:ind w:left="621"/>
              <w:rPr>
                <w:rFonts w:ascii="Arial" w:hAnsi="Arial" w:cs="Arial"/>
                <w:sz w:val="24"/>
                <w:szCs w:val="24"/>
              </w:rPr>
            </w:pPr>
            <w:r w:rsidRPr="00CA6276">
              <w:rPr>
                <w:rFonts w:ascii="Arial" w:hAnsi="Arial" w:cs="Arial"/>
                <w:sz w:val="24"/>
                <w:szCs w:val="24"/>
              </w:rPr>
              <w:t xml:space="preserve">Attendance records and </w:t>
            </w:r>
            <w:r w:rsidRPr="00CA6276">
              <w:rPr>
                <w:rFonts w:ascii="Arial" w:hAnsi="Arial" w:cs="Arial"/>
                <w:sz w:val="24"/>
                <w:szCs w:val="24"/>
              </w:rPr>
              <w:lastRenderedPageBreak/>
              <w:t>training material are documented</w:t>
            </w:r>
          </w:p>
          <w:p w:rsidR="0015383E" w:rsidRPr="00CA6276" w:rsidRDefault="0015383E" w:rsidP="001657F3">
            <w:pPr>
              <w:numPr>
                <w:ilvl w:val="0"/>
                <w:numId w:val="22"/>
              </w:numPr>
              <w:spacing w:after="0"/>
              <w:ind w:left="621"/>
              <w:rPr>
                <w:rFonts w:ascii="Arial" w:hAnsi="Arial" w:cs="Arial"/>
                <w:sz w:val="24"/>
                <w:szCs w:val="24"/>
              </w:rPr>
            </w:pPr>
            <w:r w:rsidRPr="00CA6276">
              <w:rPr>
                <w:rFonts w:ascii="Arial" w:hAnsi="Arial" w:cs="Arial"/>
                <w:sz w:val="24"/>
                <w:szCs w:val="24"/>
              </w:rPr>
              <w:t>Employees are accountable for ensuring BSA compliance</w:t>
            </w:r>
          </w:p>
          <w:p w:rsidR="0015383E" w:rsidRPr="00CA6276" w:rsidRDefault="0015383E" w:rsidP="001657F3">
            <w:pPr>
              <w:numPr>
                <w:ilvl w:val="0"/>
                <w:numId w:val="22"/>
              </w:numPr>
              <w:spacing w:after="0"/>
              <w:ind w:left="621"/>
              <w:rPr>
                <w:rFonts w:ascii="Arial" w:hAnsi="Arial" w:cs="Arial"/>
                <w:sz w:val="24"/>
                <w:szCs w:val="24"/>
              </w:rPr>
            </w:pPr>
            <w:r w:rsidRPr="00CA6276">
              <w:rPr>
                <w:rFonts w:ascii="Arial" w:hAnsi="Arial" w:cs="Arial"/>
                <w:sz w:val="24"/>
                <w:szCs w:val="24"/>
              </w:rPr>
              <w:t>Internal policies, procedures, and new rules and regulations are covered</w:t>
            </w:r>
          </w:p>
          <w:p w:rsidR="0015383E" w:rsidRPr="00CA6276" w:rsidRDefault="0015383E" w:rsidP="001657F3">
            <w:pPr>
              <w:numPr>
                <w:ilvl w:val="0"/>
                <w:numId w:val="22"/>
              </w:numPr>
              <w:spacing w:after="0"/>
              <w:ind w:left="621"/>
              <w:rPr>
                <w:rFonts w:ascii="Arial" w:hAnsi="Arial" w:cs="Arial"/>
                <w:sz w:val="24"/>
                <w:szCs w:val="24"/>
              </w:rPr>
            </w:pPr>
            <w:r w:rsidRPr="00CA6276">
              <w:rPr>
                <w:rFonts w:ascii="Arial" w:hAnsi="Arial" w:cs="Arial"/>
                <w:sz w:val="24"/>
                <w:szCs w:val="24"/>
              </w:rPr>
              <w:t>Different forms of money laundering and terrorist financing as it relates to identification is covered</w:t>
            </w:r>
          </w:p>
          <w:p w:rsidR="0015383E" w:rsidRDefault="0015383E" w:rsidP="001657F3">
            <w:pPr>
              <w:numPr>
                <w:ilvl w:val="0"/>
                <w:numId w:val="23"/>
              </w:numPr>
              <w:spacing w:after="0"/>
              <w:ind w:left="621"/>
              <w:rPr>
                <w:rFonts w:ascii="Arial" w:hAnsi="Arial" w:cs="Arial"/>
                <w:sz w:val="24"/>
                <w:szCs w:val="24"/>
              </w:rPr>
            </w:pPr>
            <w:r w:rsidRPr="00CA6276">
              <w:rPr>
                <w:rFonts w:ascii="Arial" w:hAnsi="Arial" w:cs="Arial"/>
                <w:sz w:val="24"/>
                <w:szCs w:val="24"/>
              </w:rPr>
              <w:t>Examples of suspicious activity is covered.</w:t>
            </w:r>
          </w:p>
          <w:p w:rsidR="007279F4" w:rsidRDefault="007279F4" w:rsidP="007279F4">
            <w:pPr>
              <w:spacing w:after="0"/>
              <w:ind w:left="621"/>
              <w:rPr>
                <w:rFonts w:ascii="Arial" w:hAnsi="Arial" w:cs="Arial"/>
                <w:sz w:val="24"/>
                <w:szCs w:val="24"/>
              </w:rPr>
            </w:pPr>
          </w:p>
          <w:p w:rsidR="009B3779" w:rsidRPr="00CA6276" w:rsidRDefault="009B3779" w:rsidP="001657F3">
            <w:pPr>
              <w:numPr>
                <w:ilvl w:val="0"/>
                <w:numId w:val="23"/>
              </w:numPr>
              <w:spacing w:after="0"/>
              <w:ind w:left="621"/>
              <w:rPr>
                <w:rFonts w:ascii="Arial" w:hAnsi="Arial" w:cs="Arial"/>
                <w:sz w:val="24"/>
                <w:szCs w:val="24"/>
              </w:rPr>
            </w:pPr>
            <w:r>
              <w:rPr>
                <w:rFonts w:ascii="Arial" w:hAnsi="Arial" w:cs="Arial"/>
                <w:sz w:val="24"/>
                <w:szCs w:val="24"/>
              </w:rPr>
              <w:t>Competency of staff (testing and test scores)</w:t>
            </w:r>
          </w:p>
        </w:tc>
        <w:tc>
          <w:tcPr>
            <w:tcW w:w="389" w:type="dxa"/>
          </w:tcPr>
          <w:p w:rsidR="0015383E" w:rsidRPr="00CA6276" w:rsidRDefault="0015383E" w:rsidP="001657F3">
            <w:pPr>
              <w:spacing w:after="0"/>
              <w:rPr>
                <w:rFonts w:ascii="Arial" w:hAnsi="Arial" w:cs="Arial"/>
                <w:sz w:val="24"/>
                <w:szCs w:val="24"/>
              </w:rPr>
            </w:pPr>
          </w:p>
        </w:tc>
        <w:tc>
          <w:tcPr>
            <w:tcW w:w="390" w:type="dxa"/>
          </w:tcPr>
          <w:p w:rsidR="0015383E" w:rsidRPr="00CA6276" w:rsidRDefault="0015383E" w:rsidP="001657F3">
            <w:pPr>
              <w:spacing w:after="0"/>
              <w:rPr>
                <w:rFonts w:ascii="Arial" w:hAnsi="Arial" w:cs="Arial"/>
                <w:sz w:val="24"/>
                <w:szCs w:val="24"/>
              </w:rPr>
            </w:pPr>
          </w:p>
        </w:tc>
        <w:tc>
          <w:tcPr>
            <w:tcW w:w="4431" w:type="dxa"/>
          </w:tcPr>
          <w:p w:rsidR="0015383E" w:rsidRPr="00CA6276" w:rsidRDefault="0015383E" w:rsidP="001657F3">
            <w:pPr>
              <w:spacing w:after="0"/>
              <w:rPr>
                <w:rFonts w:ascii="Arial" w:hAnsi="Arial" w:cs="Arial"/>
                <w:sz w:val="24"/>
                <w:szCs w:val="24"/>
              </w:rPr>
            </w:pPr>
          </w:p>
        </w:tc>
      </w:tr>
      <w:tr w:rsidR="0015383E" w:rsidRPr="00CA6276" w:rsidTr="00C3748E">
        <w:tc>
          <w:tcPr>
            <w:tcW w:w="9576" w:type="dxa"/>
            <w:gridSpan w:val="5"/>
            <w:shd w:val="clear" w:color="auto" w:fill="D9D9D9"/>
          </w:tcPr>
          <w:p w:rsidR="0015383E" w:rsidRPr="00CA6276" w:rsidRDefault="0015383E" w:rsidP="001657F3">
            <w:pPr>
              <w:spacing w:after="0"/>
              <w:rPr>
                <w:rFonts w:ascii="Arial" w:hAnsi="Arial" w:cs="Arial"/>
                <w:b/>
                <w:sz w:val="24"/>
                <w:szCs w:val="24"/>
              </w:rPr>
            </w:pPr>
            <w:r w:rsidRPr="00CA6276">
              <w:rPr>
                <w:rFonts w:ascii="Arial" w:hAnsi="Arial" w:cs="Arial"/>
                <w:b/>
                <w:sz w:val="24"/>
                <w:szCs w:val="24"/>
              </w:rPr>
              <w:lastRenderedPageBreak/>
              <w:t>Independent Testing – 31 CFR 1029.210</w:t>
            </w:r>
            <w:r w:rsidR="00587D9A" w:rsidRPr="00CA6276">
              <w:rPr>
                <w:rFonts w:ascii="Arial" w:hAnsi="Arial" w:cs="Arial"/>
                <w:b/>
                <w:sz w:val="24"/>
                <w:szCs w:val="24"/>
              </w:rPr>
              <w:t>(b)</w:t>
            </w:r>
            <w:r w:rsidRPr="00CA6276">
              <w:rPr>
                <w:rFonts w:ascii="Arial" w:hAnsi="Arial" w:cs="Arial"/>
                <w:b/>
                <w:sz w:val="24"/>
                <w:szCs w:val="24"/>
              </w:rPr>
              <w:t>(4)</w:t>
            </w:r>
          </w:p>
        </w:tc>
      </w:tr>
      <w:tr w:rsidR="0015383E" w:rsidRPr="00CA6276" w:rsidTr="00C3748E">
        <w:tc>
          <w:tcPr>
            <w:tcW w:w="639" w:type="dxa"/>
          </w:tcPr>
          <w:p w:rsidR="0015383E" w:rsidRPr="00CA6276" w:rsidRDefault="007279F4" w:rsidP="001657F3">
            <w:pPr>
              <w:spacing w:after="0"/>
              <w:rPr>
                <w:rFonts w:ascii="Arial" w:hAnsi="Arial" w:cs="Arial"/>
                <w:sz w:val="24"/>
                <w:szCs w:val="24"/>
              </w:rPr>
            </w:pPr>
            <w:r>
              <w:rPr>
                <w:rFonts w:ascii="Arial" w:hAnsi="Arial" w:cs="Arial"/>
                <w:sz w:val="24"/>
                <w:szCs w:val="24"/>
              </w:rPr>
              <w:t>24</w:t>
            </w:r>
          </w:p>
        </w:tc>
        <w:tc>
          <w:tcPr>
            <w:tcW w:w="3727" w:type="dxa"/>
          </w:tcPr>
          <w:p w:rsidR="00C3748E" w:rsidRPr="00CA6276" w:rsidRDefault="00C3748E" w:rsidP="001657F3">
            <w:pPr>
              <w:spacing w:after="0"/>
              <w:rPr>
                <w:rFonts w:ascii="Arial" w:hAnsi="Arial" w:cs="Arial"/>
                <w:sz w:val="24"/>
                <w:szCs w:val="24"/>
              </w:rPr>
            </w:pPr>
            <w:r w:rsidRPr="00CA6276">
              <w:rPr>
                <w:rFonts w:ascii="Arial" w:hAnsi="Arial" w:cs="Arial"/>
                <w:sz w:val="24"/>
                <w:szCs w:val="24"/>
              </w:rPr>
              <w:t xml:space="preserve">Review the independent testing or audit scope, procedures, and work papers to determine adequacy of the test/audit based on the following: </w:t>
            </w:r>
          </w:p>
          <w:p w:rsidR="0015383E" w:rsidRPr="00CA6276" w:rsidRDefault="0015383E" w:rsidP="001657F3">
            <w:pPr>
              <w:numPr>
                <w:ilvl w:val="0"/>
                <w:numId w:val="52"/>
              </w:numPr>
              <w:spacing w:after="0"/>
              <w:rPr>
                <w:rFonts w:ascii="Arial" w:hAnsi="Arial" w:cs="Arial"/>
                <w:sz w:val="24"/>
                <w:szCs w:val="24"/>
              </w:rPr>
            </w:pPr>
            <w:r w:rsidRPr="00CA6276">
              <w:rPr>
                <w:rFonts w:ascii="Arial" w:hAnsi="Arial" w:cs="Arial"/>
                <w:sz w:val="24"/>
                <w:szCs w:val="24"/>
              </w:rPr>
              <w:t xml:space="preserve">Competency of the auditors or independent reviewers regarding BSA/AML requirements </w:t>
            </w:r>
          </w:p>
          <w:p w:rsidR="0015383E" w:rsidRPr="00CA6276" w:rsidRDefault="0015383E" w:rsidP="001657F3">
            <w:pPr>
              <w:spacing w:after="0"/>
              <w:rPr>
                <w:rFonts w:ascii="Arial" w:hAnsi="Arial" w:cs="Arial"/>
                <w:sz w:val="24"/>
                <w:szCs w:val="24"/>
              </w:rPr>
            </w:pPr>
          </w:p>
          <w:p w:rsidR="0015383E" w:rsidRPr="00CA6276" w:rsidRDefault="0015383E" w:rsidP="001657F3">
            <w:pPr>
              <w:numPr>
                <w:ilvl w:val="0"/>
                <w:numId w:val="52"/>
              </w:numPr>
              <w:spacing w:after="0"/>
              <w:rPr>
                <w:rFonts w:ascii="Arial" w:hAnsi="Arial" w:cs="Arial"/>
                <w:sz w:val="24"/>
                <w:szCs w:val="24"/>
              </w:rPr>
            </w:pPr>
            <w:r w:rsidRPr="00CA6276">
              <w:rPr>
                <w:rFonts w:ascii="Arial" w:hAnsi="Arial" w:cs="Arial"/>
                <w:sz w:val="24"/>
                <w:szCs w:val="24"/>
              </w:rPr>
              <w:t xml:space="preserve">Senior Management/Board reporting and supervision of, and its responsiveness to audit findings. </w:t>
            </w:r>
          </w:p>
          <w:p w:rsidR="0015383E" w:rsidRPr="00CA6276" w:rsidRDefault="0015383E" w:rsidP="001657F3">
            <w:pPr>
              <w:spacing w:after="0"/>
              <w:rPr>
                <w:rFonts w:ascii="Arial" w:hAnsi="Arial" w:cs="Arial"/>
                <w:sz w:val="24"/>
                <w:szCs w:val="24"/>
              </w:rPr>
            </w:pPr>
          </w:p>
          <w:p w:rsidR="0015383E" w:rsidRPr="00CA6276" w:rsidRDefault="0015383E" w:rsidP="001657F3">
            <w:pPr>
              <w:numPr>
                <w:ilvl w:val="0"/>
                <w:numId w:val="52"/>
              </w:numPr>
              <w:spacing w:after="0"/>
              <w:rPr>
                <w:rFonts w:ascii="Arial" w:hAnsi="Arial" w:cs="Arial"/>
                <w:sz w:val="24"/>
                <w:szCs w:val="24"/>
              </w:rPr>
            </w:pPr>
            <w:r w:rsidRPr="00CA6276">
              <w:rPr>
                <w:rFonts w:ascii="Arial" w:hAnsi="Arial" w:cs="Arial"/>
                <w:sz w:val="24"/>
                <w:szCs w:val="24"/>
              </w:rPr>
              <w:t xml:space="preserve">The adequacy of policies and procedures and whether they comply with internal requirements to include  the overall audit </w:t>
            </w:r>
            <w:r w:rsidRPr="00CA6276">
              <w:rPr>
                <w:rFonts w:ascii="Arial" w:hAnsi="Arial" w:cs="Arial"/>
                <w:sz w:val="24"/>
                <w:szCs w:val="24"/>
              </w:rPr>
              <w:lastRenderedPageBreak/>
              <w:t>coverage in relation to the risk profile of the company;</w:t>
            </w:r>
          </w:p>
          <w:p w:rsidR="0015383E" w:rsidRPr="00CA6276" w:rsidRDefault="0015383E" w:rsidP="001657F3">
            <w:pPr>
              <w:spacing w:after="0"/>
              <w:rPr>
                <w:rFonts w:ascii="Arial" w:hAnsi="Arial" w:cs="Arial"/>
                <w:sz w:val="24"/>
                <w:szCs w:val="24"/>
              </w:rPr>
            </w:pPr>
          </w:p>
          <w:p w:rsidR="001657F3" w:rsidRPr="00CA6276" w:rsidRDefault="0015383E" w:rsidP="001657F3">
            <w:pPr>
              <w:numPr>
                <w:ilvl w:val="0"/>
                <w:numId w:val="52"/>
              </w:numPr>
              <w:spacing w:after="0"/>
              <w:rPr>
                <w:rFonts w:ascii="Arial" w:hAnsi="Arial" w:cs="Arial"/>
                <w:sz w:val="24"/>
                <w:szCs w:val="24"/>
              </w:rPr>
            </w:pPr>
            <w:r w:rsidRPr="00CA6276">
              <w:rPr>
                <w:rFonts w:ascii="Arial" w:hAnsi="Arial" w:cs="Arial"/>
                <w:sz w:val="24"/>
                <w:szCs w:val="24"/>
              </w:rPr>
              <w:t xml:space="preserve">Personnel adherence to the company’s BSA/AML policies, procedures, and processes. </w:t>
            </w:r>
          </w:p>
          <w:p w:rsidR="001657F3" w:rsidRDefault="001657F3" w:rsidP="001657F3">
            <w:pPr>
              <w:pStyle w:val="ListParagraph"/>
              <w:rPr>
                <w:rFonts w:ascii="Arial" w:hAnsi="Arial" w:cs="Arial"/>
                <w:szCs w:val="24"/>
              </w:rPr>
            </w:pPr>
          </w:p>
          <w:p w:rsidR="00C3748E" w:rsidRPr="00CA6276" w:rsidRDefault="00C3748E" w:rsidP="001657F3">
            <w:pPr>
              <w:numPr>
                <w:ilvl w:val="0"/>
                <w:numId w:val="52"/>
              </w:numPr>
              <w:spacing w:after="0"/>
              <w:rPr>
                <w:rFonts w:ascii="Arial" w:hAnsi="Arial" w:cs="Arial"/>
                <w:sz w:val="24"/>
                <w:szCs w:val="24"/>
              </w:rPr>
            </w:pPr>
            <w:r w:rsidRPr="00CA6276">
              <w:rPr>
                <w:rFonts w:ascii="Arial" w:hAnsi="Arial" w:cs="Arial"/>
                <w:sz w:val="24"/>
                <w:szCs w:val="24"/>
              </w:rPr>
              <w:t>Training adequacy, including its comprehensiveness, accuracy of materials, the training schedule, and attendance tracking.</w:t>
            </w:r>
          </w:p>
        </w:tc>
        <w:tc>
          <w:tcPr>
            <w:tcW w:w="389" w:type="dxa"/>
          </w:tcPr>
          <w:p w:rsidR="0015383E" w:rsidRPr="00CA6276" w:rsidRDefault="0015383E" w:rsidP="001657F3">
            <w:pPr>
              <w:spacing w:after="0"/>
              <w:rPr>
                <w:rFonts w:ascii="Arial" w:hAnsi="Arial" w:cs="Arial"/>
                <w:sz w:val="24"/>
                <w:szCs w:val="24"/>
              </w:rPr>
            </w:pPr>
          </w:p>
        </w:tc>
        <w:tc>
          <w:tcPr>
            <w:tcW w:w="390" w:type="dxa"/>
          </w:tcPr>
          <w:p w:rsidR="0015383E" w:rsidRPr="00CA6276" w:rsidRDefault="0015383E" w:rsidP="001657F3">
            <w:pPr>
              <w:spacing w:after="0"/>
              <w:rPr>
                <w:rFonts w:ascii="Arial" w:hAnsi="Arial" w:cs="Arial"/>
                <w:sz w:val="24"/>
                <w:szCs w:val="24"/>
              </w:rPr>
            </w:pPr>
          </w:p>
        </w:tc>
        <w:tc>
          <w:tcPr>
            <w:tcW w:w="4431" w:type="dxa"/>
          </w:tcPr>
          <w:p w:rsidR="0015383E" w:rsidRPr="00CA6276" w:rsidRDefault="0015383E" w:rsidP="001657F3">
            <w:pPr>
              <w:spacing w:after="0"/>
              <w:rPr>
                <w:rFonts w:ascii="Arial" w:hAnsi="Arial" w:cs="Arial"/>
                <w:sz w:val="24"/>
                <w:szCs w:val="24"/>
              </w:rPr>
            </w:pPr>
          </w:p>
        </w:tc>
      </w:tr>
      <w:tr w:rsidR="0015383E" w:rsidRPr="00CA6276" w:rsidTr="00C3748E">
        <w:tc>
          <w:tcPr>
            <w:tcW w:w="639" w:type="dxa"/>
          </w:tcPr>
          <w:p w:rsidR="0015383E" w:rsidRPr="00CA6276" w:rsidRDefault="007279F4" w:rsidP="001657F3">
            <w:pPr>
              <w:spacing w:after="0"/>
              <w:rPr>
                <w:rFonts w:ascii="Arial" w:hAnsi="Arial" w:cs="Arial"/>
                <w:sz w:val="24"/>
                <w:szCs w:val="24"/>
              </w:rPr>
            </w:pPr>
            <w:r>
              <w:rPr>
                <w:rFonts w:ascii="Arial" w:hAnsi="Arial" w:cs="Arial"/>
                <w:sz w:val="24"/>
                <w:szCs w:val="24"/>
              </w:rPr>
              <w:lastRenderedPageBreak/>
              <w:t>25</w:t>
            </w:r>
          </w:p>
        </w:tc>
        <w:tc>
          <w:tcPr>
            <w:tcW w:w="3727" w:type="dxa"/>
          </w:tcPr>
          <w:p w:rsidR="00C3748E" w:rsidRPr="00CA6276" w:rsidRDefault="00C3748E" w:rsidP="001657F3">
            <w:pPr>
              <w:spacing w:after="0"/>
              <w:rPr>
                <w:rFonts w:ascii="Arial" w:hAnsi="Arial" w:cs="Arial"/>
                <w:sz w:val="24"/>
                <w:szCs w:val="24"/>
              </w:rPr>
            </w:pPr>
            <w:r w:rsidRPr="00CA6276">
              <w:rPr>
                <w:rFonts w:ascii="Arial" w:hAnsi="Arial" w:cs="Arial"/>
                <w:sz w:val="24"/>
                <w:szCs w:val="24"/>
              </w:rPr>
              <w:t>Determine whether the independent test or audit’s review of suspicious activity reporting systems includes an evaluation of the research and referral of unusual activity. Ensure through a validation of the independent reviewer’s or auditor’s reports and workpapers that the company’s independent testing includes a review of policies, procedures, and processes for referring unusual activity from all business lines to the personnel or department responsible for evaluating unusual activity.</w:t>
            </w:r>
          </w:p>
        </w:tc>
        <w:tc>
          <w:tcPr>
            <w:tcW w:w="389" w:type="dxa"/>
          </w:tcPr>
          <w:p w:rsidR="0015383E" w:rsidRPr="00CA6276" w:rsidRDefault="0015383E" w:rsidP="001657F3">
            <w:pPr>
              <w:spacing w:after="0"/>
              <w:rPr>
                <w:rFonts w:ascii="Arial" w:hAnsi="Arial" w:cs="Arial"/>
                <w:sz w:val="24"/>
                <w:szCs w:val="24"/>
              </w:rPr>
            </w:pPr>
          </w:p>
        </w:tc>
        <w:tc>
          <w:tcPr>
            <w:tcW w:w="390" w:type="dxa"/>
          </w:tcPr>
          <w:p w:rsidR="0015383E" w:rsidRPr="00CA6276" w:rsidRDefault="0015383E" w:rsidP="001657F3">
            <w:pPr>
              <w:spacing w:after="0"/>
              <w:rPr>
                <w:rFonts w:ascii="Arial" w:hAnsi="Arial" w:cs="Arial"/>
                <w:sz w:val="24"/>
                <w:szCs w:val="24"/>
              </w:rPr>
            </w:pPr>
          </w:p>
        </w:tc>
        <w:tc>
          <w:tcPr>
            <w:tcW w:w="4431" w:type="dxa"/>
          </w:tcPr>
          <w:p w:rsidR="0015383E" w:rsidRPr="00CA6276" w:rsidRDefault="0015383E" w:rsidP="001657F3">
            <w:pPr>
              <w:spacing w:after="0"/>
              <w:rPr>
                <w:rFonts w:ascii="Arial" w:hAnsi="Arial" w:cs="Arial"/>
                <w:sz w:val="24"/>
                <w:szCs w:val="24"/>
              </w:rPr>
            </w:pPr>
          </w:p>
        </w:tc>
      </w:tr>
      <w:tr w:rsidR="0015383E" w:rsidRPr="00CA6276" w:rsidTr="00C3748E">
        <w:tc>
          <w:tcPr>
            <w:tcW w:w="9576" w:type="dxa"/>
            <w:gridSpan w:val="5"/>
            <w:shd w:val="clear" w:color="auto" w:fill="D9D9D9"/>
          </w:tcPr>
          <w:p w:rsidR="0015383E" w:rsidRPr="00CA6276" w:rsidRDefault="0015383E" w:rsidP="001657F3">
            <w:pPr>
              <w:spacing w:after="0"/>
              <w:rPr>
                <w:rFonts w:ascii="Arial" w:hAnsi="Arial" w:cs="Arial"/>
                <w:b/>
                <w:sz w:val="24"/>
                <w:szCs w:val="24"/>
              </w:rPr>
            </w:pPr>
            <w:r w:rsidRPr="00CA6276">
              <w:rPr>
                <w:rFonts w:ascii="Arial" w:hAnsi="Arial" w:cs="Arial"/>
                <w:b/>
                <w:sz w:val="24"/>
                <w:szCs w:val="24"/>
              </w:rPr>
              <w:t>Fraud Prevention</w:t>
            </w:r>
          </w:p>
        </w:tc>
      </w:tr>
      <w:tr w:rsidR="0015383E" w:rsidRPr="00CA6276" w:rsidTr="00C3748E">
        <w:tc>
          <w:tcPr>
            <w:tcW w:w="639" w:type="dxa"/>
          </w:tcPr>
          <w:p w:rsidR="0015383E" w:rsidRPr="00CA6276" w:rsidRDefault="007279F4" w:rsidP="001657F3">
            <w:pPr>
              <w:spacing w:after="0"/>
              <w:rPr>
                <w:rFonts w:ascii="Arial" w:hAnsi="Arial" w:cs="Arial"/>
                <w:sz w:val="24"/>
                <w:szCs w:val="24"/>
              </w:rPr>
            </w:pPr>
            <w:r>
              <w:rPr>
                <w:rFonts w:ascii="Arial" w:hAnsi="Arial" w:cs="Arial"/>
                <w:sz w:val="24"/>
                <w:szCs w:val="24"/>
              </w:rPr>
              <w:t>26</w:t>
            </w:r>
          </w:p>
        </w:tc>
        <w:tc>
          <w:tcPr>
            <w:tcW w:w="3727" w:type="dxa"/>
          </w:tcPr>
          <w:p w:rsidR="00C3748E" w:rsidRPr="00CA6276" w:rsidRDefault="00C3748E" w:rsidP="001657F3">
            <w:pPr>
              <w:spacing w:after="0"/>
              <w:rPr>
                <w:rFonts w:ascii="Arial" w:hAnsi="Arial" w:cs="Arial"/>
                <w:sz w:val="24"/>
                <w:szCs w:val="24"/>
              </w:rPr>
            </w:pPr>
            <w:r w:rsidRPr="00CA6276">
              <w:rPr>
                <w:rFonts w:ascii="Arial" w:hAnsi="Arial" w:cs="Arial"/>
                <w:sz w:val="24"/>
                <w:szCs w:val="24"/>
              </w:rPr>
              <w:t>Review the RMLO’ s  fraud risk management program. Determine whether it includes written policies that convey expectations for management regarding managing fraud risk.</w:t>
            </w:r>
          </w:p>
        </w:tc>
        <w:tc>
          <w:tcPr>
            <w:tcW w:w="389" w:type="dxa"/>
          </w:tcPr>
          <w:p w:rsidR="0015383E" w:rsidRPr="00CA6276" w:rsidRDefault="0015383E" w:rsidP="001657F3">
            <w:pPr>
              <w:spacing w:after="0"/>
              <w:rPr>
                <w:rFonts w:ascii="Arial" w:hAnsi="Arial" w:cs="Arial"/>
                <w:sz w:val="24"/>
                <w:szCs w:val="24"/>
              </w:rPr>
            </w:pPr>
          </w:p>
        </w:tc>
        <w:tc>
          <w:tcPr>
            <w:tcW w:w="390" w:type="dxa"/>
          </w:tcPr>
          <w:p w:rsidR="0015383E" w:rsidRPr="00CA6276" w:rsidRDefault="0015383E" w:rsidP="001657F3">
            <w:pPr>
              <w:spacing w:after="0"/>
              <w:rPr>
                <w:rFonts w:ascii="Arial" w:hAnsi="Arial" w:cs="Arial"/>
                <w:sz w:val="24"/>
                <w:szCs w:val="24"/>
              </w:rPr>
            </w:pPr>
          </w:p>
        </w:tc>
        <w:tc>
          <w:tcPr>
            <w:tcW w:w="4431" w:type="dxa"/>
          </w:tcPr>
          <w:p w:rsidR="0015383E" w:rsidRPr="00CA6276" w:rsidRDefault="0015383E" w:rsidP="001657F3">
            <w:pPr>
              <w:spacing w:after="0"/>
              <w:rPr>
                <w:rFonts w:ascii="Arial" w:hAnsi="Arial" w:cs="Arial"/>
                <w:sz w:val="24"/>
                <w:szCs w:val="24"/>
              </w:rPr>
            </w:pPr>
          </w:p>
        </w:tc>
      </w:tr>
      <w:tr w:rsidR="0015383E" w:rsidRPr="00CA6276" w:rsidTr="00C3748E">
        <w:tc>
          <w:tcPr>
            <w:tcW w:w="639" w:type="dxa"/>
          </w:tcPr>
          <w:p w:rsidR="0015383E" w:rsidRPr="00CA6276" w:rsidRDefault="007279F4" w:rsidP="001657F3">
            <w:pPr>
              <w:spacing w:after="0"/>
              <w:rPr>
                <w:rFonts w:ascii="Arial" w:hAnsi="Arial" w:cs="Arial"/>
                <w:sz w:val="24"/>
                <w:szCs w:val="24"/>
              </w:rPr>
            </w:pPr>
            <w:r>
              <w:rPr>
                <w:rFonts w:ascii="Arial" w:hAnsi="Arial" w:cs="Arial"/>
                <w:sz w:val="24"/>
                <w:szCs w:val="24"/>
              </w:rPr>
              <w:t>27</w:t>
            </w:r>
          </w:p>
        </w:tc>
        <w:tc>
          <w:tcPr>
            <w:tcW w:w="3727" w:type="dxa"/>
          </w:tcPr>
          <w:p w:rsidR="00C3748E" w:rsidRPr="00CA6276" w:rsidRDefault="00C3748E" w:rsidP="001657F3">
            <w:pPr>
              <w:spacing w:after="0"/>
              <w:rPr>
                <w:rFonts w:ascii="Arial" w:hAnsi="Arial" w:cs="Arial"/>
                <w:sz w:val="24"/>
                <w:szCs w:val="24"/>
              </w:rPr>
            </w:pPr>
            <w:r w:rsidRPr="00CA6276">
              <w:rPr>
                <w:rFonts w:ascii="Arial" w:hAnsi="Arial" w:cs="Arial"/>
                <w:sz w:val="24"/>
                <w:szCs w:val="24"/>
              </w:rPr>
              <w:t xml:space="preserve">Review the preceding report of </w:t>
            </w:r>
            <w:r w:rsidRPr="00CA6276">
              <w:rPr>
                <w:rFonts w:ascii="Arial" w:hAnsi="Arial" w:cs="Arial"/>
                <w:sz w:val="24"/>
                <w:szCs w:val="24"/>
              </w:rPr>
              <w:lastRenderedPageBreak/>
              <w:t>examination and fraud-related exceptions noted and determine whether management has taken appropriate corrective action.</w:t>
            </w:r>
          </w:p>
        </w:tc>
        <w:tc>
          <w:tcPr>
            <w:tcW w:w="389" w:type="dxa"/>
          </w:tcPr>
          <w:p w:rsidR="0015383E" w:rsidRPr="00CA6276" w:rsidRDefault="0015383E" w:rsidP="001657F3">
            <w:pPr>
              <w:spacing w:after="0"/>
              <w:rPr>
                <w:rFonts w:ascii="Arial" w:hAnsi="Arial" w:cs="Arial"/>
                <w:sz w:val="24"/>
                <w:szCs w:val="24"/>
              </w:rPr>
            </w:pPr>
          </w:p>
        </w:tc>
        <w:tc>
          <w:tcPr>
            <w:tcW w:w="390" w:type="dxa"/>
          </w:tcPr>
          <w:p w:rsidR="0015383E" w:rsidRPr="00CA6276" w:rsidRDefault="0015383E" w:rsidP="001657F3">
            <w:pPr>
              <w:spacing w:after="0"/>
              <w:rPr>
                <w:rFonts w:ascii="Arial" w:hAnsi="Arial" w:cs="Arial"/>
                <w:sz w:val="24"/>
                <w:szCs w:val="24"/>
              </w:rPr>
            </w:pPr>
          </w:p>
        </w:tc>
        <w:tc>
          <w:tcPr>
            <w:tcW w:w="4431" w:type="dxa"/>
          </w:tcPr>
          <w:p w:rsidR="0015383E" w:rsidRPr="00CA6276" w:rsidRDefault="0015383E" w:rsidP="001657F3">
            <w:pPr>
              <w:spacing w:after="0"/>
              <w:rPr>
                <w:rFonts w:ascii="Arial" w:hAnsi="Arial" w:cs="Arial"/>
                <w:sz w:val="24"/>
                <w:szCs w:val="24"/>
              </w:rPr>
            </w:pPr>
          </w:p>
        </w:tc>
      </w:tr>
      <w:tr w:rsidR="0015383E" w:rsidRPr="00CA6276" w:rsidTr="00C3748E">
        <w:tc>
          <w:tcPr>
            <w:tcW w:w="639" w:type="dxa"/>
          </w:tcPr>
          <w:p w:rsidR="0015383E" w:rsidRPr="00CA6276" w:rsidRDefault="007279F4" w:rsidP="001657F3">
            <w:pPr>
              <w:spacing w:after="0"/>
              <w:rPr>
                <w:rFonts w:ascii="Arial" w:hAnsi="Arial" w:cs="Arial"/>
                <w:sz w:val="24"/>
                <w:szCs w:val="24"/>
              </w:rPr>
            </w:pPr>
            <w:r>
              <w:rPr>
                <w:rFonts w:ascii="Arial" w:hAnsi="Arial" w:cs="Arial"/>
                <w:sz w:val="24"/>
                <w:szCs w:val="24"/>
              </w:rPr>
              <w:lastRenderedPageBreak/>
              <w:t>28</w:t>
            </w:r>
          </w:p>
        </w:tc>
        <w:tc>
          <w:tcPr>
            <w:tcW w:w="3727" w:type="dxa"/>
          </w:tcPr>
          <w:p w:rsidR="00C3748E" w:rsidRPr="00CA6276" w:rsidRDefault="00C3748E" w:rsidP="001657F3">
            <w:pPr>
              <w:spacing w:after="0"/>
              <w:rPr>
                <w:rFonts w:ascii="Arial" w:hAnsi="Arial" w:cs="Arial"/>
                <w:sz w:val="24"/>
                <w:szCs w:val="24"/>
              </w:rPr>
            </w:pPr>
            <w:r w:rsidRPr="00CA6276">
              <w:rPr>
                <w:rFonts w:ascii="Arial" w:hAnsi="Arial" w:cs="Arial"/>
                <w:sz w:val="24"/>
                <w:szCs w:val="24"/>
              </w:rPr>
              <w:t xml:space="preserve">Review the results of the various examination programs to determine if problems exist that may be symptomatic of fraud.  In cases where fraud may be likely, investigate such problems to determine the cause of the problem (for example, poor staff training, errors). </w:t>
            </w:r>
          </w:p>
        </w:tc>
        <w:tc>
          <w:tcPr>
            <w:tcW w:w="389" w:type="dxa"/>
          </w:tcPr>
          <w:p w:rsidR="0015383E" w:rsidRPr="00CA6276" w:rsidRDefault="0015383E" w:rsidP="001657F3">
            <w:pPr>
              <w:spacing w:after="0"/>
              <w:rPr>
                <w:rFonts w:ascii="Arial" w:hAnsi="Arial" w:cs="Arial"/>
                <w:sz w:val="24"/>
                <w:szCs w:val="24"/>
              </w:rPr>
            </w:pPr>
          </w:p>
        </w:tc>
        <w:tc>
          <w:tcPr>
            <w:tcW w:w="390" w:type="dxa"/>
          </w:tcPr>
          <w:p w:rsidR="0015383E" w:rsidRPr="00CA6276" w:rsidRDefault="0015383E" w:rsidP="001657F3">
            <w:pPr>
              <w:spacing w:after="0"/>
              <w:rPr>
                <w:rFonts w:ascii="Arial" w:hAnsi="Arial" w:cs="Arial"/>
                <w:sz w:val="24"/>
                <w:szCs w:val="24"/>
              </w:rPr>
            </w:pPr>
          </w:p>
        </w:tc>
        <w:tc>
          <w:tcPr>
            <w:tcW w:w="4431" w:type="dxa"/>
          </w:tcPr>
          <w:p w:rsidR="0015383E" w:rsidRPr="00CA6276" w:rsidRDefault="0015383E" w:rsidP="001657F3">
            <w:pPr>
              <w:spacing w:after="0"/>
              <w:rPr>
                <w:rFonts w:ascii="Arial" w:hAnsi="Arial" w:cs="Arial"/>
                <w:sz w:val="24"/>
                <w:szCs w:val="24"/>
              </w:rPr>
            </w:pPr>
          </w:p>
        </w:tc>
      </w:tr>
      <w:tr w:rsidR="0015383E" w:rsidRPr="00CA6276" w:rsidTr="00C3748E">
        <w:tc>
          <w:tcPr>
            <w:tcW w:w="639" w:type="dxa"/>
          </w:tcPr>
          <w:p w:rsidR="0015383E" w:rsidRPr="00CA6276" w:rsidRDefault="007279F4" w:rsidP="001657F3">
            <w:pPr>
              <w:spacing w:after="0"/>
              <w:rPr>
                <w:rFonts w:ascii="Arial" w:hAnsi="Arial" w:cs="Arial"/>
                <w:sz w:val="24"/>
                <w:szCs w:val="24"/>
              </w:rPr>
            </w:pPr>
            <w:r>
              <w:rPr>
                <w:rFonts w:ascii="Arial" w:hAnsi="Arial" w:cs="Arial"/>
                <w:sz w:val="24"/>
                <w:szCs w:val="24"/>
              </w:rPr>
              <w:t>29</w:t>
            </w:r>
          </w:p>
        </w:tc>
        <w:tc>
          <w:tcPr>
            <w:tcW w:w="3727" w:type="dxa"/>
          </w:tcPr>
          <w:p w:rsidR="00C3748E" w:rsidRPr="00CA6276" w:rsidRDefault="00C3748E" w:rsidP="001657F3">
            <w:pPr>
              <w:spacing w:after="0"/>
              <w:rPr>
                <w:rFonts w:ascii="Arial" w:hAnsi="Arial" w:cs="Arial"/>
                <w:b/>
                <w:sz w:val="24"/>
                <w:szCs w:val="24"/>
              </w:rPr>
            </w:pPr>
            <w:r w:rsidRPr="00CA6276">
              <w:rPr>
                <w:rFonts w:ascii="Arial" w:hAnsi="Arial" w:cs="Arial"/>
                <w:sz w:val="24"/>
                <w:szCs w:val="24"/>
              </w:rPr>
              <w:t>Review the company’ s  independent testing or audit reports to determine if specific pr</w:t>
            </w:r>
            <w:r w:rsidR="0015383E" w:rsidRPr="00CA6276">
              <w:rPr>
                <w:rFonts w:ascii="Arial" w:hAnsi="Arial" w:cs="Arial"/>
                <w:sz w:val="24"/>
                <w:szCs w:val="24"/>
              </w:rPr>
              <w:t>ocedures exist to detect fraud.</w:t>
            </w:r>
          </w:p>
        </w:tc>
        <w:tc>
          <w:tcPr>
            <w:tcW w:w="389" w:type="dxa"/>
          </w:tcPr>
          <w:p w:rsidR="0015383E" w:rsidRPr="00CA6276" w:rsidRDefault="0015383E" w:rsidP="001657F3">
            <w:pPr>
              <w:spacing w:after="0"/>
              <w:rPr>
                <w:rFonts w:ascii="Arial" w:hAnsi="Arial" w:cs="Arial"/>
                <w:sz w:val="24"/>
                <w:szCs w:val="24"/>
              </w:rPr>
            </w:pPr>
          </w:p>
        </w:tc>
        <w:tc>
          <w:tcPr>
            <w:tcW w:w="390" w:type="dxa"/>
          </w:tcPr>
          <w:p w:rsidR="0015383E" w:rsidRPr="00CA6276" w:rsidRDefault="0015383E" w:rsidP="001657F3">
            <w:pPr>
              <w:spacing w:after="0"/>
              <w:rPr>
                <w:rFonts w:ascii="Arial" w:hAnsi="Arial" w:cs="Arial"/>
                <w:sz w:val="24"/>
                <w:szCs w:val="24"/>
              </w:rPr>
            </w:pPr>
          </w:p>
        </w:tc>
        <w:tc>
          <w:tcPr>
            <w:tcW w:w="4431" w:type="dxa"/>
          </w:tcPr>
          <w:p w:rsidR="0015383E" w:rsidRPr="00CA6276" w:rsidRDefault="0015383E" w:rsidP="001657F3">
            <w:pPr>
              <w:spacing w:after="0"/>
              <w:rPr>
                <w:rFonts w:ascii="Arial" w:hAnsi="Arial" w:cs="Arial"/>
                <w:sz w:val="24"/>
                <w:szCs w:val="24"/>
              </w:rPr>
            </w:pPr>
          </w:p>
        </w:tc>
      </w:tr>
      <w:tr w:rsidR="0015383E" w:rsidRPr="00CA6276" w:rsidTr="00C3748E">
        <w:tc>
          <w:tcPr>
            <w:tcW w:w="639" w:type="dxa"/>
          </w:tcPr>
          <w:p w:rsidR="0015383E" w:rsidRPr="00CA6276" w:rsidRDefault="007279F4" w:rsidP="001657F3">
            <w:pPr>
              <w:spacing w:after="0"/>
              <w:rPr>
                <w:rFonts w:ascii="Arial" w:hAnsi="Arial" w:cs="Arial"/>
                <w:sz w:val="24"/>
                <w:szCs w:val="24"/>
              </w:rPr>
            </w:pPr>
            <w:r>
              <w:rPr>
                <w:rFonts w:ascii="Arial" w:hAnsi="Arial" w:cs="Arial"/>
                <w:sz w:val="24"/>
                <w:szCs w:val="24"/>
              </w:rPr>
              <w:t>30</w:t>
            </w:r>
          </w:p>
        </w:tc>
        <w:tc>
          <w:tcPr>
            <w:tcW w:w="3727" w:type="dxa"/>
          </w:tcPr>
          <w:p w:rsidR="00C3748E" w:rsidRPr="00CA6276" w:rsidRDefault="00C3748E" w:rsidP="001657F3">
            <w:pPr>
              <w:spacing w:after="0"/>
              <w:rPr>
                <w:rFonts w:ascii="Arial" w:hAnsi="Arial" w:cs="Arial"/>
                <w:sz w:val="24"/>
                <w:szCs w:val="24"/>
              </w:rPr>
            </w:pPr>
            <w:r w:rsidRPr="00CA6276">
              <w:rPr>
                <w:rFonts w:ascii="Arial" w:hAnsi="Arial" w:cs="Arial"/>
                <w:sz w:val="24"/>
                <w:szCs w:val="24"/>
              </w:rPr>
              <w:t xml:space="preserve">Review and note findings and conclusions, and appropriate recommendations for any necessary corrective measures, on the appropriate work papers and report pages.    </w:t>
            </w:r>
          </w:p>
        </w:tc>
        <w:tc>
          <w:tcPr>
            <w:tcW w:w="389" w:type="dxa"/>
          </w:tcPr>
          <w:p w:rsidR="0015383E" w:rsidRPr="00CA6276" w:rsidRDefault="0015383E" w:rsidP="001657F3">
            <w:pPr>
              <w:spacing w:after="0"/>
              <w:rPr>
                <w:rFonts w:ascii="Arial" w:hAnsi="Arial" w:cs="Arial"/>
                <w:sz w:val="24"/>
                <w:szCs w:val="24"/>
              </w:rPr>
            </w:pPr>
          </w:p>
        </w:tc>
        <w:tc>
          <w:tcPr>
            <w:tcW w:w="390" w:type="dxa"/>
          </w:tcPr>
          <w:p w:rsidR="0015383E" w:rsidRPr="00CA6276" w:rsidRDefault="0015383E" w:rsidP="001657F3">
            <w:pPr>
              <w:spacing w:after="0"/>
              <w:rPr>
                <w:rFonts w:ascii="Arial" w:hAnsi="Arial" w:cs="Arial"/>
                <w:sz w:val="24"/>
                <w:szCs w:val="24"/>
              </w:rPr>
            </w:pPr>
          </w:p>
        </w:tc>
        <w:tc>
          <w:tcPr>
            <w:tcW w:w="4431" w:type="dxa"/>
          </w:tcPr>
          <w:p w:rsidR="0015383E" w:rsidRPr="00CA6276" w:rsidRDefault="0015383E" w:rsidP="001657F3">
            <w:pPr>
              <w:spacing w:after="0"/>
              <w:rPr>
                <w:rFonts w:ascii="Arial" w:hAnsi="Arial" w:cs="Arial"/>
                <w:sz w:val="24"/>
                <w:szCs w:val="24"/>
              </w:rPr>
            </w:pPr>
          </w:p>
        </w:tc>
      </w:tr>
    </w:tbl>
    <w:p w:rsidR="00C220A3" w:rsidRPr="0008572D" w:rsidRDefault="00C220A3">
      <w:pPr>
        <w:rPr>
          <w:rFonts w:ascii="Arial" w:hAnsi="Arial" w:cs="Arial"/>
          <w:sz w:val="24"/>
          <w:szCs w:val="24"/>
        </w:rPr>
      </w:pPr>
    </w:p>
    <w:p w:rsidR="00C220A3" w:rsidRPr="0008572D" w:rsidRDefault="00C220A3" w:rsidP="00C220A3">
      <w:pPr>
        <w:pStyle w:val="Heading1"/>
        <w:spacing w:before="0"/>
        <w:rPr>
          <w:rFonts w:cs="Arial"/>
          <w:color w:val="0070C0"/>
          <w:sz w:val="24"/>
          <w:szCs w:val="24"/>
        </w:rPr>
      </w:pPr>
      <w:bookmarkStart w:id="11" w:name="_Toc335314194"/>
      <w:r w:rsidRPr="0008572D">
        <w:rPr>
          <w:rFonts w:cs="Arial"/>
          <w:color w:val="0070C0"/>
          <w:sz w:val="24"/>
          <w:szCs w:val="24"/>
        </w:rPr>
        <w:t>Reporting Requirements</w:t>
      </w:r>
      <w:bookmarkEnd w:id="11"/>
    </w:p>
    <w:p w:rsidR="00C220A3" w:rsidRPr="0008572D" w:rsidRDefault="00C220A3" w:rsidP="00C220A3">
      <w:pPr>
        <w:rPr>
          <w:rFonts w:ascii="Arial" w:hAnsi="Arial" w:cs="Arial"/>
          <w:b/>
          <w:sz w:val="24"/>
          <w:szCs w:val="24"/>
        </w:rPr>
      </w:pPr>
    </w:p>
    <w:p w:rsidR="00C220A3" w:rsidRPr="0008572D" w:rsidRDefault="00C220A3" w:rsidP="00C220A3">
      <w:pPr>
        <w:rPr>
          <w:rFonts w:ascii="Arial" w:hAnsi="Arial" w:cs="Arial"/>
          <w:sz w:val="24"/>
          <w:szCs w:val="24"/>
        </w:rPr>
      </w:pPr>
      <w:r w:rsidRPr="0008572D">
        <w:rPr>
          <w:rFonts w:ascii="Arial" w:hAnsi="Arial" w:cs="Arial"/>
          <w:sz w:val="24"/>
          <w:szCs w:val="24"/>
        </w:rPr>
        <w:t xml:space="preserve">FinCEN’s new rule requires RMLOs </w:t>
      </w:r>
      <w:r w:rsidR="005E29F4">
        <w:rPr>
          <w:rFonts w:ascii="Arial" w:hAnsi="Arial" w:cs="Arial"/>
          <w:sz w:val="24"/>
          <w:szCs w:val="24"/>
        </w:rPr>
        <w:t>to</w:t>
      </w:r>
      <w:r w:rsidR="005E29F4" w:rsidRPr="0008572D">
        <w:rPr>
          <w:rFonts w:ascii="Arial" w:hAnsi="Arial" w:cs="Arial"/>
          <w:sz w:val="24"/>
          <w:szCs w:val="24"/>
        </w:rPr>
        <w:t xml:space="preserve"> </w:t>
      </w:r>
      <w:r w:rsidRPr="0008572D">
        <w:rPr>
          <w:rFonts w:ascii="Arial" w:hAnsi="Arial" w:cs="Arial"/>
          <w:sz w:val="24"/>
          <w:szCs w:val="24"/>
        </w:rPr>
        <w:t>fil</w:t>
      </w:r>
      <w:r w:rsidR="005E29F4">
        <w:rPr>
          <w:rFonts w:ascii="Arial" w:hAnsi="Arial" w:cs="Arial"/>
          <w:sz w:val="24"/>
          <w:szCs w:val="24"/>
        </w:rPr>
        <w:t>e</w:t>
      </w:r>
      <w:r w:rsidRPr="0008572D">
        <w:rPr>
          <w:rFonts w:ascii="Arial" w:hAnsi="Arial" w:cs="Arial"/>
          <w:sz w:val="24"/>
          <w:szCs w:val="24"/>
        </w:rPr>
        <w:t xml:space="preserve"> Suspicious Activity Reports, Form 8300 for large cash transactions, Information Sharing Reports 314(a) and 314(b), Foreign Bank and Financial Accounts Reports (FBARs) and Reports of International Transportation of Currency or Monetary Instruments (CMIRs).  The following sections provide information on transactions that require a report, when and where to file, and additional information specific to each report.   The information below is a summary, and further information and exceptions can be found in the regulation.</w:t>
      </w:r>
    </w:p>
    <w:p w:rsidR="00C220A3" w:rsidRDefault="00C220A3" w:rsidP="00C220A3">
      <w:pPr>
        <w:autoSpaceDE w:val="0"/>
        <w:autoSpaceDN w:val="0"/>
        <w:adjustRightInd w:val="0"/>
        <w:spacing w:before="120"/>
        <w:jc w:val="both"/>
        <w:rPr>
          <w:rFonts w:ascii="Arial" w:hAnsi="Arial" w:cs="Arial"/>
          <w:sz w:val="24"/>
          <w:szCs w:val="24"/>
        </w:rPr>
      </w:pPr>
      <w:r w:rsidRPr="0008572D">
        <w:rPr>
          <w:rFonts w:ascii="Arial" w:hAnsi="Arial" w:cs="Arial"/>
          <w:sz w:val="24"/>
          <w:szCs w:val="24"/>
        </w:rPr>
        <w:t>Effective July 1, 2012</w:t>
      </w:r>
      <w:r w:rsidRPr="0008572D">
        <w:rPr>
          <w:rStyle w:val="FootnoteReference"/>
          <w:rFonts w:ascii="Arial" w:hAnsi="Arial" w:cs="Arial"/>
          <w:sz w:val="24"/>
          <w:vertAlign w:val="superscript"/>
        </w:rPr>
        <w:footnoteReference w:id="5"/>
      </w:r>
      <w:r w:rsidRPr="0008572D">
        <w:rPr>
          <w:rFonts w:ascii="Arial" w:hAnsi="Arial" w:cs="Arial"/>
          <w:sz w:val="24"/>
          <w:szCs w:val="24"/>
        </w:rPr>
        <w:t xml:space="preserve"> institutions must submit SARs electronically unless they are granted a temporary exemption. Currency and Monetary Instrument Reports (CMIRs) and Form 8300s (Report of Cash Payments over $10,000 Received in a Trade or </w:t>
      </w:r>
      <w:r w:rsidRPr="0008572D">
        <w:rPr>
          <w:rFonts w:ascii="Arial" w:hAnsi="Arial" w:cs="Arial"/>
          <w:sz w:val="24"/>
          <w:szCs w:val="24"/>
        </w:rPr>
        <w:lastRenderedPageBreak/>
        <w:t>Business) are not subject to mandatory electronic filing at this time. FinCEN also encourages individuals to e-file FBARs (Reports of Foreign Bank and Financial Reports); however the mandatory e-filing deadline has been postponed to June 30, 2013.</w:t>
      </w:r>
    </w:p>
    <w:p w:rsidR="002333BB" w:rsidRPr="0008572D" w:rsidRDefault="002333BB" w:rsidP="00C220A3">
      <w:pPr>
        <w:autoSpaceDE w:val="0"/>
        <w:autoSpaceDN w:val="0"/>
        <w:adjustRightInd w:val="0"/>
        <w:spacing w:before="120"/>
        <w:jc w:val="both"/>
        <w:rPr>
          <w:rFonts w:ascii="Arial" w:hAnsi="Arial" w:cs="Arial"/>
          <w:sz w:val="24"/>
          <w:szCs w:val="24"/>
        </w:rPr>
      </w:pPr>
    </w:p>
    <w:p w:rsidR="0008572D" w:rsidRPr="0008572D" w:rsidRDefault="0008572D" w:rsidP="0008572D">
      <w:pPr>
        <w:pStyle w:val="Heading2"/>
        <w:rPr>
          <w:rFonts w:cs="Arial"/>
          <w:sz w:val="24"/>
          <w:szCs w:val="24"/>
        </w:rPr>
      </w:pPr>
      <w:bookmarkStart w:id="12" w:name="_Toc335314195"/>
      <w:r w:rsidRPr="0008572D">
        <w:rPr>
          <w:rFonts w:cs="Arial"/>
          <w:sz w:val="24"/>
          <w:szCs w:val="24"/>
        </w:rPr>
        <w:t>Suspicious Activity Reports</w:t>
      </w:r>
      <w:bookmarkEnd w:id="12"/>
    </w:p>
    <w:p w:rsidR="0008572D" w:rsidRPr="0008572D" w:rsidRDefault="0008572D" w:rsidP="0008572D">
      <w:pPr>
        <w:rPr>
          <w:rFonts w:ascii="Arial" w:hAnsi="Arial" w:cs="Arial"/>
          <w:b/>
          <w:sz w:val="24"/>
          <w:szCs w:val="24"/>
        </w:rPr>
      </w:pPr>
    </w:p>
    <w:p w:rsidR="0008572D" w:rsidRPr="0008572D" w:rsidRDefault="0008572D" w:rsidP="0008572D">
      <w:pPr>
        <w:jc w:val="both"/>
        <w:rPr>
          <w:rFonts w:ascii="Arial" w:hAnsi="Arial" w:cs="Arial"/>
          <w:sz w:val="24"/>
          <w:szCs w:val="24"/>
        </w:rPr>
      </w:pPr>
      <w:r w:rsidRPr="0008572D">
        <w:rPr>
          <w:rFonts w:ascii="Arial" w:hAnsi="Arial" w:cs="Arial"/>
          <w:sz w:val="24"/>
          <w:szCs w:val="24"/>
        </w:rPr>
        <w:t>Suspicious Activity Reports (SARs) (31 CFR 1029.320) should be made for a  transaction that involves or aggregates funds or other assets of at least $5,000, and the RMLO knows, suspects or has reason to be suspect that the transaction (or a pattern of transactions of which the transaction is a part</w:t>
      </w:r>
      <w:r w:rsidR="0060072F">
        <w:rPr>
          <w:rFonts w:ascii="Arial" w:hAnsi="Arial" w:cs="Arial"/>
          <w:sz w:val="24"/>
          <w:szCs w:val="24"/>
        </w:rPr>
        <w:t xml:space="preserve"> of</w:t>
      </w:r>
      <w:r w:rsidRPr="0008572D">
        <w:rPr>
          <w:rFonts w:ascii="Arial" w:hAnsi="Arial" w:cs="Arial"/>
          <w:sz w:val="24"/>
          <w:szCs w:val="24"/>
        </w:rPr>
        <w:t xml:space="preserve"> involves funds derived from illegal activity or is intended or conducted in order to hide or evade any Federal law or regulation or to avoid any transaction reporting requirement under federal law or regulation). This includes structuring or other means to evade any BSA requirement. </w:t>
      </w:r>
    </w:p>
    <w:p w:rsidR="0008572D" w:rsidRPr="0008572D" w:rsidRDefault="0008572D" w:rsidP="0008572D">
      <w:pPr>
        <w:jc w:val="both"/>
        <w:rPr>
          <w:rFonts w:ascii="Arial" w:hAnsi="Arial" w:cs="Arial"/>
          <w:sz w:val="24"/>
          <w:szCs w:val="24"/>
        </w:rPr>
      </w:pPr>
      <w:r w:rsidRPr="0008572D">
        <w:rPr>
          <w:rFonts w:ascii="Arial" w:hAnsi="Arial" w:cs="Arial"/>
          <w:sz w:val="24"/>
          <w:szCs w:val="24"/>
        </w:rPr>
        <w:t>Transactions that are deemed to be suspicious have no business or apparent lawful purpose</w:t>
      </w:r>
      <w:r w:rsidR="0060072F">
        <w:rPr>
          <w:rFonts w:ascii="Arial" w:hAnsi="Arial" w:cs="Arial"/>
          <w:sz w:val="24"/>
          <w:szCs w:val="24"/>
        </w:rPr>
        <w:t>,</w:t>
      </w:r>
      <w:r w:rsidRPr="0008572D">
        <w:rPr>
          <w:rFonts w:ascii="Arial" w:hAnsi="Arial" w:cs="Arial"/>
          <w:sz w:val="24"/>
          <w:szCs w:val="24"/>
        </w:rPr>
        <w:t xml:space="preserve"> or are not the sort in which the particular customer would normally be expected to engage, and the RMLOs knows of no reasonable explanation for the transaction after examining the available facts, including the background and possible purpose of the transaction</w:t>
      </w:r>
      <w:r w:rsidR="0060072F">
        <w:rPr>
          <w:rFonts w:ascii="Arial" w:hAnsi="Arial" w:cs="Arial"/>
          <w:sz w:val="24"/>
          <w:szCs w:val="24"/>
        </w:rPr>
        <w:t>. Suspicious transactions may also</w:t>
      </w:r>
      <w:r w:rsidRPr="0008572D">
        <w:rPr>
          <w:rFonts w:ascii="Arial" w:hAnsi="Arial" w:cs="Arial"/>
          <w:sz w:val="24"/>
          <w:szCs w:val="24"/>
        </w:rPr>
        <w:t xml:space="preserve"> involve the use of the RMLO to facilitate criminal activity. </w:t>
      </w:r>
    </w:p>
    <w:p w:rsidR="0008572D" w:rsidRPr="0008572D" w:rsidRDefault="0008572D" w:rsidP="0008572D">
      <w:pPr>
        <w:jc w:val="both"/>
        <w:rPr>
          <w:rFonts w:ascii="Arial" w:hAnsi="Arial" w:cs="Arial"/>
          <w:sz w:val="24"/>
          <w:szCs w:val="24"/>
        </w:rPr>
      </w:pPr>
      <w:r w:rsidRPr="0008572D">
        <w:rPr>
          <w:rFonts w:ascii="Arial" w:hAnsi="Arial" w:cs="Arial"/>
          <w:sz w:val="24"/>
          <w:szCs w:val="24"/>
        </w:rPr>
        <w:t xml:space="preserve">A Suspicious Activity Report and supporting documentation should be filed with FinCEN in accordance with instructions listed on the SAR no later than 30 days from the date of initial detection of the suspicious transaction.  If no suspect is identified on the date of initial detection, the RMLO may delay filing a SAR, but that delay should not extend past 60 days. </w:t>
      </w:r>
      <w:r w:rsidRPr="0008572D">
        <w:rPr>
          <w:rFonts w:ascii="Arial" w:hAnsi="Arial" w:cs="Arial"/>
          <w:b/>
          <w:sz w:val="24"/>
          <w:szCs w:val="24"/>
        </w:rPr>
        <w:t xml:space="preserve"> </w:t>
      </w:r>
      <w:r w:rsidRPr="0008572D">
        <w:rPr>
          <w:rFonts w:ascii="Arial" w:hAnsi="Arial" w:cs="Arial"/>
          <w:sz w:val="24"/>
          <w:szCs w:val="24"/>
        </w:rPr>
        <w:t xml:space="preserve">If a situation occurs that needs immediate attention (terrorist financing or ongoing money laundering schemes), the RMLO should immediately telephone law enforcement authorities in addition to filing a SAR. </w:t>
      </w:r>
    </w:p>
    <w:p w:rsidR="0008572D" w:rsidRPr="0008572D" w:rsidRDefault="0008572D" w:rsidP="0008572D">
      <w:pPr>
        <w:jc w:val="both"/>
        <w:rPr>
          <w:rFonts w:ascii="Arial" w:hAnsi="Arial" w:cs="Arial"/>
          <w:b/>
          <w:sz w:val="24"/>
          <w:szCs w:val="24"/>
        </w:rPr>
      </w:pPr>
      <w:r w:rsidRPr="0008572D">
        <w:rPr>
          <w:rFonts w:ascii="Arial" w:hAnsi="Arial" w:cs="Arial"/>
          <w:sz w:val="24"/>
          <w:szCs w:val="24"/>
        </w:rPr>
        <w:t>An RMLO shall maintain a copy of any SAR filed and the original supporting documentation for a period of 5 years from the date of filing the SAR.</w:t>
      </w:r>
    </w:p>
    <w:p w:rsidR="00AB1DD8" w:rsidRPr="0008572D" w:rsidRDefault="00AB1DD8" w:rsidP="00AB1DD8">
      <w:pPr>
        <w:rPr>
          <w:rFonts w:ascii="Arial" w:hAnsi="Arial" w:cs="Arial"/>
          <w:sz w:val="24"/>
          <w:szCs w:val="24"/>
        </w:rPr>
      </w:pPr>
    </w:p>
    <w:p w:rsidR="0008572D" w:rsidRPr="0008572D" w:rsidRDefault="0008572D" w:rsidP="0008572D">
      <w:pPr>
        <w:pStyle w:val="Heading2"/>
        <w:rPr>
          <w:rFonts w:cs="Arial"/>
          <w:sz w:val="24"/>
          <w:szCs w:val="24"/>
        </w:rPr>
      </w:pPr>
      <w:bookmarkStart w:id="13" w:name="_Toc335314196"/>
      <w:r w:rsidRPr="005B5345">
        <w:rPr>
          <w:rFonts w:cs="Arial"/>
          <w:sz w:val="24"/>
          <w:szCs w:val="24"/>
        </w:rPr>
        <w:t>Form 8300</w:t>
      </w:r>
      <w:bookmarkEnd w:id="13"/>
    </w:p>
    <w:p w:rsidR="0008572D" w:rsidRPr="0008572D" w:rsidRDefault="0008572D" w:rsidP="0008572D">
      <w:pPr>
        <w:rPr>
          <w:rFonts w:ascii="Arial" w:hAnsi="Arial" w:cs="Arial"/>
          <w:b/>
          <w:sz w:val="24"/>
          <w:szCs w:val="24"/>
        </w:rPr>
      </w:pPr>
    </w:p>
    <w:p w:rsidR="0008572D" w:rsidRPr="0008572D" w:rsidRDefault="0008572D" w:rsidP="0008572D">
      <w:pPr>
        <w:jc w:val="both"/>
        <w:rPr>
          <w:rFonts w:ascii="Arial" w:hAnsi="Arial" w:cs="Arial"/>
          <w:sz w:val="24"/>
          <w:szCs w:val="24"/>
        </w:rPr>
      </w:pPr>
      <w:r w:rsidRPr="0008572D">
        <w:rPr>
          <w:rFonts w:ascii="Arial" w:hAnsi="Arial" w:cs="Arial"/>
          <w:sz w:val="24"/>
          <w:szCs w:val="24"/>
        </w:rPr>
        <w:lastRenderedPageBreak/>
        <w:t>Currency in excess of $10,000 received in one transaction (or two or more related transactions) requires an IRS Form 8300</w:t>
      </w:r>
      <w:r w:rsidR="005B5345">
        <w:rPr>
          <w:rFonts w:ascii="Arial" w:hAnsi="Arial" w:cs="Arial"/>
          <w:sz w:val="24"/>
          <w:szCs w:val="24"/>
        </w:rPr>
        <w:t>.</w:t>
      </w:r>
      <w:r w:rsidRPr="0008572D">
        <w:rPr>
          <w:rStyle w:val="FootnoteReference"/>
          <w:rFonts w:ascii="Arial" w:hAnsi="Arial" w:cs="Arial"/>
          <w:sz w:val="24"/>
          <w:vertAlign w:val="superscript"/>
        </w:rPr>
        <w:footnoteReference w:id="6"/>
      </w:r>
      <w:r w:rsidRPr="0008572D">
        <w:rPr>
          <w:rFonts w:ascii="Arial" w:hAnsi="Arial" w:cs="Arial"/>
          <w:sz w:val="24"/>
          <w:szCs w:val="24"/>
        </w:rPr>
        <w:t xml:space="preserve">  A copy of each form filed must be kept for five years from the filing date.</w:t>
      </w:r>
    </w:p>
    <w:p w:rsidR="0008572D" w:rsidRPr="0008572D" w:rsidRDefault="0008572D" w:rsidP="0008572D">
      <w:pPr>
        <w:jc w:val="both"/>
        <w:rPr>
          <w:rFonts w:ascii="Arial" w:hAnsi="Arial" w:cs="Arial"/>
          <w:sz w:val="24"/>
          <w:szCs w:val="24"/>
        </w:rPr>
      </w:pPr>
      <w:r w:rsidRPr="0008572D">
        <w:rPr>
          <w:rFonts w:ascii="Arial" w:hAnsi="Arial" w:cs="Arial"/>
          <w:sz w:val="24"/>
          <w:szCs w:val="24"/>
        </w:rPr>
        <w:t xml:space="preserve">Any person who in the course of a trade or business acts as an agent (or in some other similar capacity) and receives currency in excess of $10,000 from a principal must also file an IRS Form 8300. </w:t>
      </w:r>
    </w:p>
    <w:p w:rsidR="0008572D" w:rsidRPr="0008572D" w:rsidRDefault="0008572D" w:rsidP="0008572D">
      <w:pPr>
        <w:jc w:val="both"/>
        <w:rPr>
          <w:rFonts w:ascii="Arial" w:hAnsi="Arial" w:cs="Arial"/>
          <w:b/>
          <w:sz w:val="24"/>
          <w:szCs w:val="24"/>
        </w:rPr>
      </w:pPr>
      <w:r w:rsidRPr="0008572D">
        <w:rPr>
          <w:rFonts w:ascii="Arial" w:hAnsi="Arial" w:cs="Arial"/>
          <w:sz w:val="24"/>
          <w:szCs w:val="24"/>
        </w:rPr>
        <w:t xml:space="preserve">An exception exists for an agent who receives currency from a principal and uses all of the currency within 15 days in a currency transaction and who discloses the name, address, and TIN of the principal to the recipient in the second currency transaction.  </w:t>
      </w:r>
    </w:p>
    <w:p w:rsidR="0008572D" w:rsidRPr="0008572D" w:rsidRDefault="0008572D" w:rsidP="0008572D">
      <w:pPr>
        <w:jc w:val="both"/>
        <w:rPr>
          <w:rFonts w:ascii="Arial" w:hAnsi="Arial" w:cs="Arial"/>
          <w:sz w:val="24"/>
          <w:szCs w:val="24"/>
        </w:rPr>
      </w:pPr>
      <w:r w:rsidRPr="0008572D">
        <w:rPr>
          <w:rFonts w:ascii="Arial" w:hAnsi="Arial" w:cs="Arial"/>
          <w:sz w:val="24"/>
          <w:szCs w:val="24"/>
        </w:rPr>
        <w:t xml:space="preserve">A form 8300 must be filed for the receipt of multiple currency deposits or currency installment payments relating to a single transaction if the initial payment exceeds $10,000. </w:t>
      </w:r>
    </w:p>
    <w:p w:rsidR="0008572D" w:rsidRPr="0008572D" w:rsidRDefault="0008572D" w:rsidP="0008572D">
      <w:pPr>
        <w:pStyle w:val="NormalWeb"/>
        <w:jc w:val="both"/>
        <w:rPr>
          <w:rFonts w:ascii="Arial" w:hAnsi="Arial" w:cs="Arial"/>
        </w:rPr>
      </w:pPr>
      <w:r w:rsidRPr="0008572D">
        <w:rPr>
          <w:rFonts w:ascii="Arial" w:hAnsi="Arial" w:cs="Arial"/>
        </w:rPr>
        <w:t>There are certain exceptions to filing a Form 8300</w:t>
      </w:r>
      <w:r w:rsidR="005B5345">
        <w:rPr>
          <w:rFonts w:ascii="Arial" w:hAnsi="Arial" w:cs="Arial"/>
        </w:rPr>
        <w:t>,</w:t>
      </w:r>
      <w:r w:rsidRPr="0008572D">
        <w:rPr>
          <w:rFonts w:ascii="Arial" w:hAnsi="Arial" w:cs="Arial"/>
        </w:rPr>
        <w:t xml:space="preserve"> includ</w:t>
      </w:r>
      <w:r w:rsidR="005B5345">
        <w:rPr>
          <w:rFonts w:ascii="Arial" w:hAnsi="Arial" w:cs="Arial"/>
        </w:rPr>
        <w:t>ing</w:t>
      </w:r>
      <w:r w:rsidRPr="0008572D">
        <w:rPr>
          <w:rFonts w:ascii="Arial" w:hAnsi="Arial" w:cs="Arial"/>
        </w:rPr>
        <w:t xml:space="preserve"> the receipt of cashier checks, bank drafts, traveler’s checks or money orders received as the proceed of a loan, as a payment on a promissory note, an installment sales contract, or received as a down payment and the payment of the balance of the purchase price by a date no later than the date of the sale. There is no requirement to report a currency transaction if the entire transaction occurs outside the United States (the fifty states and the District of Columbia). If, however, any part of an entire transaction occurs in the Commonwealth of Puerto Rico or a possession or territory of the United States and the recipient of currency in that transaction is subject to the general jurisdiction of the Internal Revenue Service under title 26 of the United States Code, the recipient is required to report the transaction under this section</w:t>
      </w:r>
      <w:r w:rsidR="009B3779">
        <w:rPr>
          <w:rFonts w:ascii="Arial" w:hAnsi="Arial" w:cs="Arial"/>
        </w:rPr>
        <w:t>.</w:t>
      </w:r>
    </w:p>
    <w:p w:rsidR="0008572D" w:rsidRPr="0008572D" w:rsidRDefault="0008572D" w:rsidP="0008572D">
      <w:pPr>
        <w:pStyle w:val="NormalWeb"/>
        <w:jc w:val="both"/>
        <w:rPr>
          <w:rFonts w:ascii="Arial" w:hAnsi="Arial" w:cs="Arial"/>
          <w:b/>
        </w:rPr>
      </w:pPr>
      <w:r w:rsidRPr="0008572D">
        <w:rPr>
          <w:rFonts w:ascii="Arial" w:hAnsi="Arial" w:cs="Arial"/>
        </w:rPr>
        <w:t>The reports required by this section must be filed with the Internal Revenue Service by the 15th day after the date the reportable transaction is received</w:t>
      </w:r>
      <w:r w:rsidR="00016BC9">
        <w:rPr>
          <w:rFonts w:ascii="Arial" w:hAnsi="Arial" w:cs="Arial"/>
        </w:rPr>
        <w:t>.</w:t>
      </w:r>
    </w:p>
    <w:p w:rsidR="0008572D" w:rsidRPr="0008572D" w:rsidRDefault="0008572D" w:rsidP="0008572D">
      <w:pPr>
        <w:pStyle w:val="NormalWeb"/>
        <w:jc w:val="both"/>
        <w:rPr>
          <w:rFonts w:ascii="Arial" w:hAnsi="Arial" w:cs="Arial"/>
        </w:rPr>
      </w:pPr>
      <w:r w:rsidRPr="0008572D">
        <w:rPr>
          <w:rFonts w:ascii="Arial" w:hAnsi="Arial" w:cs="Arial"/>
        </w:rPr>
        <w:t xml:space="preserve"> A person required to file a report under this section must keep a copy of each return filed for five years from the date of filing.</w:t>
      </w:r>
    </w:p>
    <w:p w:rsidR="0008572D" w:rsidRPr="0008572D" w:rsidRDefault="0008572D" w:rsidP="0008572D">
      <w:pPr>
        <w:pStyle w:val="NormalWeb"/>
        <w:jc w:val="both"/>
        <w:rPr>
          <w:rFonts w:ascii="Arial" w:hAnsi="Arial" w:cs="Arial"/>
        </w:rPr>
      </w:pPr>
      <w:r w:rsidRPr="0008572D">
        <w:rPr>
          <w:rFonts w:ascii="Arial" w:hAnsi="Arial" w:cs="Arial"/>
          <w:iCs/>
        </w:rPr>
        <w:t xml:space="preserve">Additionally, a written or electronic statement must be provided to any person named on a required Form 8300 filed with the Internal Revenue Service. </w:t>
      </w:r>
      <w:r w:rsidRPr="0008572D">
        <w:rPr>
          <w:rFonts w:ascii="Arial" w:hAnsi="Arial" w:cs="Arial"/>
        </w:rPr>
        <w:t>It must contain the following information:</w:t>
      </w:r>
      <w:r w:rsidRPr="0008572D">
        <w:rPr>
          <w:rFonts w:ascii="Arial" w:hAnsi="Arial" w:cs="Arial"/>
        </w:rPr>
        <w:tab/>
      </w:r>
    </w:p>
    <w:p w:rsidR="0008572D" w:rsidRPr="0008572D" w:rsidRDefault="0008572D" w:rsidP="0008572D">
      <w:pPr>
        <w:pStyle w:val="NormalWeb"/>
        <w:numPr>
          <w:ilvl w:val="0"/>
          <w:numId w:val="24"/>
        </w:numPr>
        <w:jc w:val="both"/>
        <w:rPr>
          <w:rFonts w:ascii="Arial" w:hAnsi="Arial" w:cs="Arial"/>
        </w:rPr>
      </w:pPr>
      <w:r w:rsidRPr="0008572D">
        <w:rPr>
          <w:rFonts w:ascii="Arial" w:hAnsi="Arial" w:cs="Arial"/>
        </w:rPr>
        <w:lastRenderedPageBreak/>
        <w:t>The name and address of the person making the return;</w:t>
      </w:r>
    </w:p>
    <w:p w:rsidR="0008572D" w:rsidRPr="0008572D" w:rsidRDefault="0008572D" w:rsidP="0008572D">
      <w:pPr>
        <w:pStyle w:val="NormalWeb"/>
        <w:numPr>
          <w:ilvl w:val="0"/>
          <w:numId w:val="24"/>
        </w:numPr>
        <w:jc w:val="both"/>
        <w:rPr>
          <w:rFonts w:ascii="Arial" w:hAnsi="Arial" w:cs="Arial"/>
        </w:rPr>
      </w:pPr>
      <w:r w:rsidRPr="0008572D">
        <w:rPr>
          <w:rFonts w:ascii="Arial" w:hAnsi="Arial" w:cs="Arial"/>
        </w:rPr>
        <w:t>The aggregate amount of the reportable transaction received by the person who made the information return required by this section during the calendar year in all cash transactions relating to the identified person; and</w:t>
      </w:r>
    </w:p>
    <w:p w:rsidR="0008572D" w:rsidRPr="0008572D" w:rsidRDefault="0008572D" w:rsidP="0008572D">
      <w:pPr>
        <w:pStyle w:val="NormalWeb"/>
        <w:numPr>
          <w:ilvl w:val="0"/>
          <w:numId w:val="24"/>
        </w:numPr>
        <w:jc w:val="both"/>
        <w:rPr>
          <w:rFonts w:ascii="Arial" w:hAnsi="Arial" w:cs="Arial"/>
        </w:rPr>
      </w:pPr>
      <w:r w:rsidRPr="0008572D">
        <w:rPr>
          <w:rFonts w:ascii="Arial" w:hAnsi="Arial" w:cs="Arial"/>
        </w:rPr>
        <w:t>A legend stating that the information contained in the statement is being reported to the Internal Revenue Service.</w:t>
      </w:r>
    </w:p>
    <w:p w:rsidR="0008572D" w:rsidRDefault="0008572D" w:rsidP="0008572D">
      <w:pPr>
        <w:pStyle w:val="NormalWeb"/>
        <w:jc w:val="both"/>
        <w:rPr>
          <w:rFonts w:ascii="Arial" w:hAnsi="Arial" w:cs="Arial"/>
        </w:rPr>
      </w:pPr>
      <w:r w:rsidRPr="0008572D">
        <w:rPr>
          <w:rFonts w:ascii="Arial" w:hAnsi="Arial" w:cs="Arial"/>
        </w:rPr>
        <w:t>Statements must be furnished to an identified person on or before January 31 of the year following the calendar year in which the reportable transaction is received. A statement shall be considered to be furnished to an identified person if it is mailed to the identified person at the identified person's last known address</w:t>
      </w:r>
      <w:r w:rsidR="00016BC9">
        <w:rPr>
          <w:rFonts w:ascii="Arial" w:hAnsi="Arial" w:cs="Arial"/>
        </w:rPr>
        <w:t>.</w:t>
      </w:r>
    </w:p>
    <w:p w:rsidR="0008572D" w:rsidRPr="0008572D" w:rsidRDefault="0008572D" w:rsidP="0008572D">
      <w:pPr>
        <w:pStyle w:val="NormalWeb"/>
        <w:jc w:val="both"/>
        <w:rPr>
          <w:rFonts w:ascii="Arial" w:hAnsi="Arial" w:cs="Arial"/>
        </w:rPr>
      </w:pPr>
    </w:p>
    <w:p w:rsidR="0008572D" w:rsidRPr="0008572D" w:rsidRDefault="0008572D" w:rsidP="0008572D">
      <w:pPr>
        <w:pStyle w:val="Heading2"/>
        <w:rPr>
          <w:rFonts w:cs="Arial"/>
          <w:sz w:val="24"/>
          <w:szCs w:val="24"/>
        </w:rPr>
      </w:pPr>
      <w:bookmarkStart w:id="14" w:name="_Toc335314197"/>
      <w:r w:rsidRPr="0008572D">
        <w:rPr>
          <w:rFonts w:cs="Arial"/>
          <w:sz w:val="24"/>
          <w:szCs w:val="24"/>
        </w:rPr>
        <w:t>Form 8300 Red Flags</w:t>
      </w:r>
      <w:bookmarkEnd w:id="14"/>
      <w:r w:rsidRPr="0008572D">
        <w:rPr>
          <w:rFonts w:cs="Arial"/>
          <w:sz w:val="24"/>
          <w:szCs w:val="24"/>
        </w:rPr>
        <w:t xml:space="preserve"> </w:t>
      </w:r>
    </w:p>
    <w:p w:rsidR="0008572D" w:rsidRPr="0008572D" w:rsidRDefault="0008572D" w:rsidP="0008572D">
      <w:pPr>
        <w:rPr>
          <w:rFonts w:ascii="Arial" w:hAnsi="Arial" w:cs="Arial"/>
          <w:b/>
          <w:sz w:val="24"/>
          <w:szCs w:val="24"/>
        </w:rPr>
      </w:pPr>
    </w:p>
    <w:p w:rsidR="0008572D" w:rsidRPr="0008572D" w:rsidRDefault="0008572D" w:rsidP="0008572D">
      <w:pPr>
        <w:jc w:val="both"/>
        <w:rPr>
          <w:rFonts w:ascii="Arial" w:hAnsi="Arial" w:cs="Arial"/>
          <w:color w:val="000000"/>
          <w:sz w:val="24"/>
          <w:szCs w:val="24"/>
        </w:rPr>
      </w:pPr>
      <w:r w:rsidRPr="0008572D">
        <w:rPr>
          <w:rFonts w:ascii="Arial" w:hAnsi="Arial" w:cs="Arial"/>
          <w:color w:val="000000"/>
          <w:sz w:val="24"/>
          <w:szCs w:val="24"/>
        </w:rPr>
        <w:t xml:space="preserve">The business and/or the customer can potentially be involved in money laundering schemes. The examiner must focus on both the business and the transactor(s) during the Form 8300 compliance review. </w:t>
      </w:r>
    </w:p>
    <w:p w:rsidR="0008572D" w:rsidRPr="0008572D" w:rsidRDefault="0008572D" w:rsidP="0008572D">
      <w:pPr>
        <w:jc w:val="both"/>
        <w:rPr>
          <w:rFonts w:ascii="Arial" w:hAnsi="Arial" w:cs="Arial"/>
          <w:color w:val="000000"/>
          <w:sz w:val="24"/>
          <w:szCs w:val="24"/>
        </w:rPr>
      </w:pPr>
      <w:r w:rsidRPr="0008572D">
        <w:rPr>
          <w:rFonts w:ascii="Arial" w:hAnsi="Arial" w:cs="Arial"/>
          <w:color w:val="000000"/>
          <w:sz w:val="24"/>
          <w:szCs w:val="24"/>
        </w:rPr>
        <w:t xml:space="preserve">Money laundering techniques which could be used by the business include: </w:t>
      </w:r>
    </w:p>
    <w:p w:rsidR="0008572D" w:rsidRPr="0008572D" w:rsidRDefault="0008572D" w:rsidP="0008572D">
      <w:pPr>
        <w:pStyle w:val="ListParagraph"/>
        <w:widowControl/>
        <w:numPr>
          <w:ilvl w:val="0"/>
          <w:numId w:val="25"/>
        </w:numPr>
        <w:spacing w:line="276" w:lineRule="auto"/>
        <w:jc w:val="both"/>
        <w:rPr>
          <w:rFonts w:ascii="Arial" w:hAnsi="Arial" w:cs="Arial"/>
          <w:color w:val="000000"/>
          <w:szCs w:val="24"/>
        </w:rPr>
      </w:pPr>
      <w:r w:rsidRPr="0008572D">
        <w:rPr>
          <w:rFonts w:ascii="Arial" w:hAnsi="Arial" w:cs="Arial"/>
          <w:color w:val="000000"/>
          <w:szCs w:val="24"/>
        </w:rPr>
        <w:t>Failing to maintain complete records;</w:t>
      </w:r>
    </w:p>
    <w:p w:rsidR="0008572D" w:rsidRPr="0008572D" w:rsidRDefault="0008572D" w:rsidP="0008572D">
      <w:pPr>
        <w:pStyle w:val="ListParagraph"/>
        <w:widowControl/>
        <w:numPr>
          <w:ilvl w:val="0"/>
          <w:numId w:val="25"/>
        </w:numPr>
        <w:spacing w:line="276" w:lineRule="auto"/>
        <w:jc w:val="both"/>
        <w:rPr>
          <w:rFonts w:ascii="Arial" w:hAnsi="Arial" w:cs="Arial"/>
          <w:color w:val="000000"/>
          <w:szCs w:val="24"/>
        </w:rPr>
      </w:pPr>
      <w:r w:rsidRPr="0008572D">
        <w:rPr>
          <w:rFonts w:ascii="Arial" w:hAnsi="Arial" w:cs="Arial"/>
          <w:color w:val="000000"/>
          <w:szCs w:val="24"/>
        </w:rPr>
        <w:t>Failing to maintain accurate records;</w:t>
      </w:r>
    </w:p>
    <w:p w:rsidR="0008572D" w:rsidRPr="0008572D" w:rsidRDefault="0008572D" w:rsidP="0008572D">
      <w:pPr>
        <w:pStyle w:val="ListParagraph"/>
        <w:widowControl/>
        <w:numPr>
          <w:ilvl w:val="0"/>
          <w:numId w:val="25"/>
        </w:numPr>
        <w:spacing w:line="276" w:lineRule="auto"/>
        <w:jc w:val="both"/>
        <w:rPr>
          <w:rFonts w:ascii="Arial" w:hAnsi="Arial" w:cs="Arial"/>
          <w:color w:val="000000"/>
          <w:szCs w:val="24"/>
        </w:rPr>
      </w:pPr>
      <w:r w:rsidRPr="0008572D">
        <w:rPr>
          <w:rFonts w:ascii="Arial" w:hAnsi="Arial" w:cs="Arial"/>
          <w:color w:val="000000"/>
          <w:szCs w:val="24"/>
        </w:rPr>
        <w:t>Failing to record specific transactions;</w:t>
      </w:r>
    </w:p>
    <w:p w:rsidR="0008572D" w:rsidRPr="0008572D" w:rsidRDefault="0008572D" w:rsidP="0008572D">
      <w:pPr>
        <w:pStyle w:val="ListParagraph"/>
        <w:widowControl/>
        <w:numPr>
          <w:ilvl w:val="0"/>
          <w:numId w:val="25"/>
        </w:numPr>
        <w:spacing w:line="276" w:lineRule="auto"/>
        <w:jc w:val="both"/>
        <w:rPr>
          <w:rFonts w:ascii="Arial" w:hAnsi="Arial" w:cs="Arial"/>
          <w:color w:val="000000"/>
          <w:szCs w:val="24"/>
        </w:rPr>
      </w:pPr>
      <w:r w:rsidRPr="0008572D">
        <w:rPr>
          <w:rFonts w:ascii="Arial" w:hAnsi="Arial" w:cs="Arial"/>
          <w:color w:val="000000"/>
          <w:szCs w:val="24"/>
        </w:rPr>
        <w:t>Failing to file Form 8300 on reportable transactions; and</w:t>
      </w:r>
    </w:p>
    <w:p w:rsidR="0008572D" w:rsidRPr="0008572D" w:rsidRDefault="0008572D" w:rsidP="0008572D">
      <w:pPr>
        <w:pStyle w:val="ListParagraph"/>
        <w:widowControl/>
        <w:numPr>
          <w:ilvl w:val="0"/>
          <w:numId w:val="25"/>
        </w:numPr>
        <w:spacing w:line="276" w:lineRule="auto"/>
        <w:jc w:val="both"/>
        <w:rPr>
          <w:rFonts w:ascii="Arial" w:hAnsi="Arial" w:cs="Arial"/>
          <w:color w:val="000000"/>
          <w:szCs w:val="24"/>
        </w:rPr>
      </w:pPr>
      <w:r w:rsidRPr="0008572D">
        <w:rPr>
          <w:rFonts w:ascii="Arial" w:hAnsi="Arial" w:cs="Arial"/>
          <w:color w:val="000000"/>
          <w:szCs w:val="24"/>
        </w:rPr>
        <w:t xml:space="preserve">Structuring a transaction by breaking one transaction into several to circumvent the reporting requirements. </w:t>
      </w:r>
    </w:p>
    <w:p w:rsidR="00016BC9" w:rsidRDefault="00016BC9" w:rsidP="0008572D">
      <w:pPr>
        <w:jc w:val="both"/>
        <w:rPr>
          <w:rFonts w:ascii="Arial" w:hAnsi="Arial" w:cs="Arial"/>
          <w:color w:val="000000"/>
          <w:sz w:val="24"/>
          <w:szCs w:val="24"/>
        </w:rPr>
      </w:pPr>
    </w:p>
    <w:p w:rsidR="0008572D" w:rsidRPr="0008572D" w:rsidRDefault="0008572D" w:rsidP="0008572D">
      <w:pPr>
        <w:jc w:val="both"/>
        <w:rPr>
          <w:rFonts w:ascii="Arial" w:hAnsi="Arial" w:cs="Arial"/>
          <w:color w:val="000000"/>
          <w:sz w:val="24"/>
          <w:szCs w:val="24"/>
        </w:rPr>
      </w:pPr>
      <w:r w:rsidRPr="0008572D">
        <w:rPr>
          <w:rFonts w:ascii="Arial" w:hAnsi="Arial" w:cs="Arial"/>
          <w:color w:val="000000"/>
          <w:sz w:val="24"/>
          <w:szCs w:val="24"/>
        </w:rPr>
        <w:t xml:space="preserve">Money laundering techniques which could be used by the customer/transactor include: </w:t>
      </w:r>
    </w:p>
    <w:p w:rsidR="0008572D" w:rsidRPr="0008572D" w:rsidRDefault="0008572D" w:rsidP="0008572D">
      <w:pPr>
        <w:pStyle w:val="ListParagraph"/>
        <w:widowControl/>
        <w:numPr>
          <w:ilvl w:val="0"/>
          <w:numId w:val="26"/>
        </w:numPr>
        <w:spacing w:line="276" w:lineRule="auto"/>
        <w:jc w:val="both"/>
        <w:rPr>
          <w:rFonts w:ascii="Arial" w:hAnsi="Arial" w:cs="Arial"/>
          <w:color w:val="000000"/>
          <w:szCs w:val="24"/>
        </w:rPr>
      </w:pPr>
      <w:r w:rsidRPr="0008572D">
        <w:rPr>
          <w:rFonts w:ascii="Arial" w:hAnsi="Arial" w:cs="Arial"/>
          <w:color w:val="000000"/>
          <w:szCs w:val="24"/>
        </w:rPr>
        <w:t>Using multiple locations to conduct transactions;</w:t>
      </w:r>
    </w:p>
    <w:p w:rsidR="0008572D" w:rsidRPr="0008572D" w:rsidRDefault="0008572D" w:rsidP="0008572D">
      <w:pPr>
        <w:pStyle w:val="ListParagraph"/>
        <w:widowControl/>
        <w:numPr>
          <w:ilvl w:val="0"/>
          <w:numId w:val="26"/>
        </w:numPr>
        <w:spacing w:line="276" w:lineRule="auto"/>
        <w:jc w:val="both"/>
        <w:rPr>
          <w:rFonts w:ascii="Arial" w:hAnsi="Arial" w:cs="Arial"/>
          <w:color w:val="000000"/>
          <w:szCs w:val="24"/>
        </w:rPr>
      </w:pPr>
      <w:r w:rsidRPr="0008572D">
        <w:rPr>
          <w:rFonts w:ascii="Arial" w:hAnsi="Arial" w:cs="Arial"/>
          <w:color w:val="000000"/>
          <w:szCs w:val="24"/>
        </w:rPr>
        <w:t xml:space="preserve">Using several individuals at one or more locations to conduct a transaction; </w:t>
      </w:r>
    </w:p>
    <w:p w:rsidR="0008572D" w:rsidRPr="0008572D" w:rsidRDefault="0008572D" w:rsidP="0008572D">
      <w:pPr>
        <w:pStyle w:val="ListParagraph"/>
        <w:widowControl/>
        <w:numPr>
          <w:ilvl w:val="0"/>
          <w:numId w:val="26"/>
        </w:numPr>
        <w:spacing w:line="276" w:lineRule="auto"/>
        <w:jc w:val="both"/>
        <w:rPr>
          <w:rFonts w:ascii="Arial" w:hAnsi="Arial" w:cs="Arial"/>
          <w:color w:val="000000"/>
          <w:szCs w:val="24"/>
        </w:rPr>
      </w:pPr>
      <w:r w:rsidRPr="0008572D">
        <w:rPr>
          <w:rFonts w:ascii="Arial" w:hAnsi="Arial" w:cs="Arial"/>
          <w:color w:val="000000"/>
          <w:szCs w:val="24"/>
        </w:rPr>
        <w:t>Using aliases when conducting transactions;</w:t>
      </w:r>
    </w:p>
    <w:p w:rsidR="0008572D" w:rsidRPr="0008572D" w:rsidRDefault="0008572D" w:rsidP="0008572D">
      <w:pPr>
        <w:pStyle w:val="ListParagraph"/>
        <w:widowControl/>
        <w:numPr>
          <w:ilvl w:val="0"/>
          <w:numId w:val="27"/>
        </w:numPr>
        <w:spacing w:line="276" w:lineRule="auto"/>
        <w:jc w:val="both"/>
        <w:rPr>
          <w:rFonts w:ascii="Arial" w:hAnsi="Arial" w:cs="Arial"/>
          <w:color w:val="000000"/>
          <w:szCs w:val="24"/>
        </w:rPr>
      </w:pPr>
      <w:r w:rsidRPr="0008572D">
        <w:rPr>
          <w:rFonts w:ascii="Arial" w:hAnsi="Arial" w:cs="Arial"/>
          <w:color w:val="000000"/>
          <w:szCs w:val="24"/>
        </w:rPr>
        <w:t>Conducting numerous transactions at the same location at different times during one day; and</w:t>
      </w:r>
    </w:p>
    <w:p w:rsidR="0008572D" w:rsidRPr="0008572D" w:rsidRDefault="0008572D" w:rsidP="0008572D">
      <w:pPr>
        <w:pStyle w:val="ListParagraph"/>
        <w:widowControl/>
        <w:numPr>
          <w:ilvl w:val="0"/>
          <w:numId w:val="27"/>
        </w:numPr>
        <w:spacing w:line="276" w:lineRule="auto"/>
        <w:jc w:val="both"/>
        <w:rPr>
          <w:rFonts w:ascii="Arial" w:hAnsi="Arial" w:cs="Arial"/>
          <w:color w:val="000000"/>
          <w:szCs w:val="24"/>
        </w:rPr>
      </w:pPr>
      <w:r w:rsidRPr="0008572D">
        <w:rPr>
          <w:rFonts w:ascii="Arial" w:hAnsi="Arial" w:cs="Arial"/>
          <w:color w:val="000000"/>
          <w:szCs w:val="24"/>
        </w:rPr>
        <w:t xml:space="preserve">Using a combination of currency and monetary instruments to conduct transactions. </w:t>
      </w:r>
    </w:p>
    <w:p w:rsidR="0008572D" w:rsidRDefault="0008572D" w:rsidP="0008572D">
      <w:pPr>
        <w:pStyle w:val="NormalWeb"/>
        <w:jc w:val="both"/>
        <w:rPr>
          <w:rFonts w:ascii="Arial" w:hAnsi="Arial" w:cs="Arial"/>
          <w:color w:val="000000"/>
        </w:rPr>
      </w:pPr>
      <w:r w:rsidRPr="0008572D">
        <w:rPr>
          <w:rFonts w:ascii="Arial" w:hAnsi="Arial" w:cs="Arial"/>
          <w:color w:val="000000"/>
        </w:rPr>
        <w:t>Evidence that uncovers potential money laundering schemes should be referred to the appropriate law enforcement agency.</w:t>
      </w:r>
    </w:p>
    <w:p w:rsidR="0008572D" w:rsidRPr="0008572D" w:rsidRDefault="0008572D" w:rsidP="0008572D">
      <w:pPr>
        <w:pStyle w:val="NormalWeb"/>
        <w:jc w:val="both"/>
        <w:rPr>
          <w:rFonts w:ascii="Arial" w:hAnsi="Arial" w:cs="Arial"/>
        </w:rPr>
      </w:pPr>
      <w:r w:rsidRPr="0008572D">
        <w:rPr>
          <w:rFonts w:ascii="Arial" w:hAnsi="Arial" w:cs="Arial"/>
          <w:color w:val="000000"/>
        </w:rPr>
        <w:lastRenderedPageBreak/>
        <w:t xml:space="preserve"> </w:t>
      </w:r>
    </w:p>
    <w:p w:rsidR="0008572D" w:rsidRPr="0008572D" w:rsidRDefault="0008572D" w:rsidP="0008572D">
      <w:pPr>
        <w:pStyle w:val="Heading2"/>
        <w:rPr>
          <w:rFonts w:cs="Arial"/>
          <w:sz w:val="24"/>
          <w:szCs w:val="24"/>
        </w:rPr>
      </w:pPr>
      <w:bookmarkStart w:id="15" w:name="_Toc335314198"/>
      <w:r w:rsidRPr="0008572D">
        <w:rPr>
          <w:rFonts w:cs="Arial"/>
          <w:sz w:val="24"/>
          <w:szCs w:val="24"/>
        </w:rPr>
        <w:t>Foreign Bank and Financial Accounts Reports (FBARs) (31 CFR 1029.300)</w:t>
      </w:r>
      <w:bookmarkEnd w:id="15"/>
    </w:p>
    <w:p w:rsidR="0008572D" w:rsidRPr="0008572D" w:rsidRDefault="0008572D" w:rsidP="0008572D">
      <w:pPr>
        <w:rPr>
          <w:rFonts w:ascii="Arial" w:hAnsi="Arial" w:cs="Arial"/>
          <w:b/>
          <w:sz w:val="24"/>
          <w:szCs w:val="24"/>
        </w:rPr>
      </w:pPr>
    </w:p>
    <w:p w:rsidR="0008572D" w:rsidRPr="0008572D" w:rsidRDefault="0008572D" w:rsidP="0008572D">
      <w:pPr>
        <w:jc w:val="both"/>
        <w:rPr>
          <w:rFonts w:ascii="Arial" w:hAnsi="Arial" w:cs="Arial"/>
          <w:sz w:val="24"/>
          <w:szCs w:val="24"/>
        </w:rPr>
      </w:pPr>
      <w:r w:rsidRPr="0008572D">
        <w:rPr>
          <w:rFonts w:ascii="Arial" w:hAnsi="Arial" w:cs="Arial"/>
          <w:sz w:val="24"/>
          <w:szCs w:val="24"/>
        </w:rPr>
        <w:t xml:space="preserve">Any RMLO subject to U.S. jurisdiction with a financial interest in, or signature or other authority over, a bank, a securities, or any other financial account in a foreign country must file a Report of Foreign Bank and Financial Accounts (FBAR) (TD F 90-22.1) with the IRS if the aggregate value of these financial accounts exceeds $10,000 at any time during the calendar year.  The term financial account includes accounts in which assets are held in a commingled fund and the account owner holds an equity interest in the fund, as well as debit card and prepaid card account. </w:t>
      </w:r>
    </w:p>
    <w:p w:rsidR="0008572D" w:rsidRPr="0008572D" w:rsidRDefault="0008572D" w:rsidP="0008572D">
      <w:pPr>
        <w:jc w:val="both"/>
        <w:rPr>
          <w:rFonts w:ascii="Arial" w:hAnsi="Arial" w:cs="Arial"/>
          <w:sz w:val="24"/>
          <w:szCs w:val="24"/>
        </w:rPr>
      </w:pPr>
      <w:r w:rsidRPr="0008572D">
        <w:rPr>
          <w:rFonts w:ascii="Arial" w:hAnsi="Arial" w:cs="Arial"/>
          <w:sz w:val="24"/>
          <w:szCs w:val="24"/>
        </w:rPr>
        <w:t xml:space="preserve">An FBAR must be filed with the Commissioner of the IRS on or before June 30 of each calendar year for foreign financial accounts where the aggregate value exceeded $10,000 at any time during the previous calendar year. </w:t>
      </w:r>
    </w:p>
    <w:p w:rsidR="002333BB" w:rsidRDefault="002333BB" w:rsidP="0008572D">
      <w:pPr>
        <w:pStyle w:val="Heading2"/>
        <w:rPr>
          <w:rFonts w:cs="Arial"/>
          <w:sz w:val="24"/>
          <w:szCs w:val="24"/>
        </w:rPr>
      </w:pPr>
    </w:p>
    <w:p w:rsidR="0008572D" w:rsidRPr="0008572D" w:rsidRDefault="0008572D" w:rsidP="0008572D">
      <w:pPr>
        <w:pStyle w:val="Heading2"/>
        <w:rPr>
          <w:rFonts w:cs="Arial"/>
          <w:sz w:val="24"/>
          <w:szCs w:val="24"/>
        </w:rPr>
      </w:pPr>
      <w:bookmarkStart w:id="16" w:name="_Toc335314199"/>
      <w:r w:rsidRPr="0008572D">
        <w:rPr>
          <w:rFonts w:cs="Arial"/>
          <w:sz w:val="24"/>
          <w:szCs w:val="24"/>
        </w:rPr>
        <w:t>Report of International Transportation of Currency or Monetary Instruments (CMIRs) (31 CFR 1029.300)</w:t>
      </w:r>
      <w:bookmarkEnd w:id="16"/>
    </w:p>
    <w:p w:rsidR="0008572D" w:rsidRPr="0008572D" w:rsidRDefault="0008572D" w:rsidP="0008572D">
      <w:pPr>
        <w:rPr>
          <w:rFonts w:ascii="Arial" w:hAnsi="Arial" w:cs="Arial"/>
          <w:b/>
          <w:sz w:val="24"/>
          <w:szCs w:val="24"/>
        </w:rPr>
      </w:pPr>
    </w:p>
    <w:p w:rsidR="0008572D" w:rsidRPr="0008572D" w:rsidRDefault="0008572D" w:rsidP="0008572D">
      <w:pPr>
        <w:jc w:val="both"/>
        <w:rPr>
          <w:rFonts w:ascii="Arial" w:hAnsi="Arial" w:cs="Arial"/>
          <w:sz w:val="24"/>
          <w:szCs w:val="24"/>
        </w:rPr>
      </w:pPr>
      <w:r w:rsidRPr="0008572D">
        <w:rPr>
          <w:rFonts w:ascii="Arial" w:hAnsi="Arial" w:cs="Arial"/>
          <w:sz w:val="24"/>
          <w:szCs w:val="24"/>
        </w:rPr>
        <w:t xml:space="preserve">Each person who physically transports, mails, or ships currency or monetary instrument in excess of $10,000 at one time out of or into the United States must file a CMIR (FinCEN form 105).  A CMIR must be filed with the appropriate Bureau of Customers and Border Protection officer or with the commissioner of Customs at the time of entry into or departure from the United States within 15 days of receipt of the instruments.  </w:t>
      </w:r>
      <w:r w:rsidR="00016BC9">
        <w:rPr>
          <w:rFonts w:ascii="Arial" w:hAnsi="Arial" w:cs="Arial"/>
          <w:sz w:val="24"/>
          <w:szCs w:val="24"/>
        </w:rPr>
        <w:t>The r</w:t>
      </w:r>
      <w:r w:rsidRPr="0008572D">
        <w:rPr>
          <w:rFonts w:ascii="Arial" w:hAnsi="Arial" w:cs="Arial"/>
          <w:sz w:val="24"/>
          <w:szCs w:val="24"/>
        </w:rPr>
        <w:t xml:space="preserve">eport is to be completed by or on behalf of the person requesting the transfer of the currency or monetary instruments. </w:t>
      </w:r>
    </w:p>
    <w:p w:rsidR="0008572D" w:rsidRPr="0008572D" w:rsidRDefault="0008572D" w:rsidP="0008572D">
      <w:pPr>
        <w:jc w:val="both"/>
        <w:rPr>
          <w:rFonts w:ascii="Arial" w:hAnsi="Arial" w:cs="Arial"/>
          <w:sz w:val="24"/>
          <w:szCs w:val="24"/>
        </w:rPr>
      </w:pPr>
      <w:r w:rsidRPr="0008572D">
        <w:rPr>
          <w:rFonts w:ascii="Arial" w:hAnsi="Arial" w:cs="Arial"/>
          <w:sz w:val="24"/>
          <w:szCs w:val="24"/>
        </w:rPr>
        <w:t>RMLOs are not required to file CMIRs if mailed or shipped through the postal service or by common carrier.</w:t>
      </w:r>
    </w:p>
    <w:p w:rsidR="002333BB" w:rsidRDefault="0008572D" w:rsidP="0008572D">
      <w:pPr>
        <w:jc w:val="both"/>
        <w:rPr>
          <w:rFonts w:ascii="Arial" w:hAnsi="Arial" w:cs="Arial"/>
          <w:sz w:val="24"/>
          <w:szCs w:val="24"/>
        </w:rPr>
      </w:pPr>
      <w:r w:rsidRPr="0008572D">
        <w:rPr>
          <w:rFonts w:ascii="Arial" w:hAnsi="Arial" w:cs="Arial"/>
          <w:sz w:val="24"/>
          <w:szCs w:val="24"/>
        </w:rPr>
        <w:t>If the customer’s activity is unusual and not customary for the type of business a SAR should be filed.</w:t>
      </w:r>
    </w:p>
    <w:p w:rsidR="0008572D" w:rsidRPr="0008572D" w:rsidRDefault="0008572D" w:rsidP="0008572D">
      <w:pPr>
        <w:jc w:val="both"/>
        <w:rPr>
          <w:rFonts w:ascii="Arial" w:hAnsi="Arial" w:cs="Arial"/>
          <w:sz w:val="24"/>
          <w:szCs w:val="24"/>
        </w:rPr>
      </w:pPr>
    </w:p>
    <w:p w:rsidR="0008572D" w:rsidRPr="0008572D" w:rsidRDefault="0008572D" w:rsidP="0008572D">
      <w:pPr>
        <w:pStyle w:val="Heading2"/>
        <w:rPr>
          <w:rFonts w:cs="Arial"/>
          <w:sz w:val="24"/>
          <w:szCs w:val="24"/>
        </w:rPr>
      </w:pPr>
      <w:bookmarkStart w:id="17" w:name="_Toc335314200"/>
      <w:r w:rsidRPr="0008572D">
        <w:rPr>
          <w:rFonts w:cs="Arial"/>
          <w:sz w:val="24"/>
          <w:szCs w:val="24"/>
        </w:rPr>
        <w:t>Information Sharing Reports 314(a) and  314(b)</w:t>
      </w:r>
      <w:bookmarkEnd w:id="17"/>
    </w:p>
    <w:p w:rsidR="0008572D" w:rsidRPr="0008572D" w:rsidRDefault="0008572D" w:rsidP="0008572D">
      <w:pPr>
        <w:rPr>
          <w:rFonts w:ascii="Arial" w:hAnsi="Arial" w:cs="Arial"/>
          <w:b/>
          <w:sz w:val="24"/>
          <w:szCs w:val="24"/>
        </w:rPr>
      </w:pPr>
    </w:p>
    <w:p w:rsidR="0008572D" w:rsidRDefault="0008572D" w:rsidP="0008572D">
      <w:pPr>
        <w:jc w:val="both"/>
        <w:rPr>
          <w:rFonts w:ascii="Arial" w:hAnsi="Arial" w:cs="Arial"/>
          <w:bCs/>
          <w:sz w:val="24"/>
          <w:szCs w:val="24"/>
        </w:rPr>
      </w:pPr>
      <w:r w:rsidRPr="0008572D">
        <w:rPr>
          <w:rFonts w:ascii="Arial" w:hAnsi="Arial" w:cs="Arial"/>
          <w:bCs/>
          <w:sz w:val="24"/>
          <w:szCs w:val="24"/>
        </w:rPr>
        <w:t xml:space="preserve">Section 314(a) of the USA PATRIOT Act allows for the sharing of information with federal, state, local and foreign regulatory agencies through established procedures. Section 314(b) establishes parameters for sharing information with other financial </w:t>
      </w:r>
      <w:r w:rsidRPr="0008572D">
        <w:rPr>
          <w:rFonts w:ascii="Arial" w:hAnsi="Arial" w:cs="Arial"/>
          <w:bCs/>
          <w:sz w:val="24"/>
          <w:szCs w:val="24"/>
        </w:rPr>
        <w:lastRenderedPageBreak/>
        <w:t xml:space="preserve">institutions to deter money laundering and terrorist activity.   For this section an RMLO is defined as a </w:t>
      </w:r>
      <w:r w:rsidR="002B7520">
        <w:rPr>
          <w:rFonts w:ascii="Arial" w:hAnsi="Arial" w:cs="Arial"/>
          <w:bCs/>
          <w:sz w:val="24"/>
          <w:szCs w:val="24"/>
        </w:rPr>
        <w:t>“</w:t>
      </w:r>
      <w:r w:rsidRPr="0008572D">
        <w:rPr>
          <w:rFonts w:ascii="Arial" w:hAnsi="Arial" w:cs="Arial"/>
          <w:bCs/>
          <w:sz w:val="24"/>
          <w:szCs w:val="24"/>
        </w:rPr>
        <w:t>financial institution</w:t>
      </w:r>
      <w:r w:rsidR="002B7520">
        <w:rPr>
          <w:rFonts w:ascii="Arial" w:hAnsi="Arial" w:cs="Arial"/>
          <w:bCs/>
          <w:sz w:val="24"/>
          <w:szCs w:val="24"/>
        </w:rPr>
        <w:t>”</w:t>
      </w:r>
      <w:r w:rsidRPr="0008572D">
        <w:rPr>
          <w:rFonts w:ascii="Arial" w:hAnsi="Arial" w:cs="Arial"/>
          <w:bCs/>
          <w:sz w:val="24"/>
          <w:szCs w:val="24"/>
        </w:rPr>
        <w:t xml:space="preserve"> pursuant to </w:t>
      </w:r>
      <w:r w:rsidR="00016BC9">
        <w:rPr>
          <w:rFonts w:ascii="Arial" w:hAnsi="Arial" w:cs="Arial"/>
          <w:bCs/>
          <w:sz w:val="24"/>
          <w:szCs w:val="24"/>
        </w:rPr>
        <w:t xml:space="preserve">31 </w:t>
      </w:r>
      <w:r w:rsidRPr="0008572D">
        <w:rPr>
          <w:rFonts w:ascii="Arial" w:hAnsi="Arial" w:cs="Arial"/>
          <w:bCs/>
          <w:sz w:val="24"/>
          <w:szCs w:val="24"/>
        </w:rPr>
        <w:t>U</w:t>
      </w:r>
      <w:r w:rsidR="00016BC9">
        <w:rPr>
          <w:rFonts w:ascii="Arial" w:hAnsi="Arial" w:cs="Arial"/>
          <w:bCs/>
          <w:sz w:val="24"/>
          <w:szCs w:val="24"/>
        </w:rPr>
        <w:t>.</w:t>
      </w:r>
      <w:r w:rsidRPr="0008572D">
        <w:rPr>
          <w:rFonts w:ascii="Arial" w:hAnsi="Arial" w:cs="Arial"/>
          <w:bCs/>
          <w:sz w:val="24"/>
          <w:szCs w:val="24"/>
        </w:rPr>
        <w:t>S</w:t>
      </w:r>
      <w:r w:rsidR="00016BC9">
        <w:rPr>
          <w:rFonts w:ascii="Arial" w:hAnsi="Arial" w:cs="Arial"/>
          <w:bCs/>
          <w:sz w:val="24"/>
          <w:szCs w:val="24"/>
        </w:rPr>
        <w:t>.</w:t>
      </w:r>
      <w:r w:rsidRPr="0008572D">
        <w:rPr>
          <w:rFonts w:ascii="Arial" w:hAnsi="Arial" w:cs="Arial"/>
          <w:bCs/>
          <w:sz w:val="24"/>
          <w:szCs w:val="24"/>
        </w:rPr>
        <w:t>C</w:t>
      </w:r>
      <w:r w:rsidR="00016BC9">
        <w:rPr>
          <w:rFonts w:ascii="Arial" w:hAnsi="Arial" w:cs="Arial"/>
          <w:bCs/>
          <w:sz w:val="24"/>
          <w:szCs w:val="24"/>
        </w:rPr>
        <w:t>.</w:t>
      </w:r>
      <w:r w:rsidRPr="0008572D">
        <w:rPr>
          <w:rFonts w:ascii="Arial" w:hAnsi="Arial" w:cs="Arial"/>
          <w:bCs/>
          <w:sz w:val="24"/>
          <w:szCs w:val="24"/>
        </w:rPr>
        <w:t xml:space="preserve"> 5312(a)(2)</w:t>
      </w:r>
      <w:r w:rsidR="00016BC9">
        <w:rPr>
          <w:rFonts w:ascii="Arial" w:hAnsi="Arial" w:cs="Arial"/>
          <w:bCs/>
          <w:sz w:val="24"/>
          <w:szCs w:val="24"/>
        </w:rPr>
        <w:t>.</w:t>
      </w:r>
      <w:r w:rsidRPr="0008572D">
        <w:rPr>
          <w:rStyle w:val="FootnoteReference"/>
          <w:rFonts w:ascii="Arial" w:hAnsi="Arial" w:cs="Arial"/>
          <w:bCs/>
          <w:sz w:val="24"/>
          <w:vertAlign w:val="superscript"/>
        </w:rPr>
        <w:footnoteReference w:id="7"/>
      </w:r>
      <w:r w:rsidRPr="0008572D">
        <w:rPr>
          <w:rFonts w:ascii="Arial" w:hAnsi="Arial" w:cs="Arial"/>
          <w:bCs/>
          <w:sz w:val="24"/>
          <w:szCs w:val="24"/>
        </w:rPr>
        <w:t xml:space="preserve">  </w:t>
      </w:r>
    </w:p>
    <w:p w:rsidR="0008572D" w:rsidRPr="0008572D" w:rsidRDefault="0008572D" w:rsidP="0008572D">
      <w:pPr>
        <w:jc w:val="both"/>
        <w:rPr>
          <w:rFonts w:ascii="Arial" w:hAnsi="Arial" w:cs="Arial"/>
          <w:bCs/>
          <w:sz w:val="24"/>
          <w:szCs w:val="24"/>
        </w:rPr>
      </w:pPr>
    </w:p>
    <w:p w:rsidR="0008572D" w:rsidRPr="0008572D" w:rsidRDefault="0008572D" w:rsidP="0008572D">
      <w:pPr>
        <w:pStyle w:val="Heading2"/>
        <w:rPr>
          <w:rFonts w:cs="Arial"/>
          <w:sz w:val="24"/>
          <w:szCs w:val="24"/>
        </w:rPr>
      </w:pPr>
      <w:bookmarkStart w:id="18" w:name="_Toc335314201"/>
      <w:r w:rsidRPr="0008572D">
        <w:rPr>
          <w:rFonts w:cs="Arial"/>
          <w:sz w:val="24"/>
          <w:szCs w:val="24"/>
        </w:rPr>
        <w:t>Information Sharing Between Government Agencies and Financial Institutions 314(a) (31 CFR 1029.520)</w:t>
      </w:r>
      <w:bookmarkEnd w:id="18"/>
      <w:r w:rsidRPr="0008572D">
        <w:rPr>
          <w:rFonts w:cs="Arial"/>
          <w:sz w:val="24"/>
          <w:szCs w:val="24"/>
        </w:rPr>
        <w:t xml:space="preserve"> </w:t>
      </w:r>
    </w:p>
    <w:p w:rsidR="0008572D" w:rsidRPr="0008572D" w:rsidRDefault="0008572D" w:rsidP="0008572D">
      <w:pPr>
        <w:rPr>
          <w:rFonts w:ascii="Arial" w:hAnsi="Arial" w:cs="Arial"/>
          <w:b/>
          <w:sz w:val="24"/>
          <w:szCs w:val="24"/>
        </w:rPr>
      </w:pPr>
    </w:p>
    <w:p w:rsidR="0008572D" w:rsidRPr="0008572D" w:rsidRDefault="0008572D" w:rsidP="0008572D">
      <w:pPr>
        <w:jc w:val="both"/>
        <w:rPr>
          <w:rFonts w:ascii="Arial" w:hAnsi="Arial" w:cs="Arial"/>
          <w:b/>
          <w:sz w:val="24"/>
          <w:szCs w:val="24"/>
        </w:rPr>
      </w:pPr>
      <w:r w:rsidRPr="0008572D">
        <w:rPr>
          <w:rFonts w:ascii="Arial" w:hAnsi="Arial" w:cs="Arial"/>
          <w:sz w:val="24"/>
          <w:szCs w:val="24"/>
        </w:rPr>
        <w:t xml:space="preserve">A law enforcement agency investigating terrorist activity or money laundering may request that FinCEN solicit, on the investigating agency's behalf, certain information from a financial institution or a group of financial institutions. </w:t>
      </w:r>
      <w:r w:rsidRPr="0008572D">
        <w:rPr>
          <w:rFonts w:ascii="Arial" w:hAnsi="Arial" w:cs="Arial"/>
          <w:b/>
          <w:sz w:val="24"/>
          <w:szCs w:val="24"/>
        </w:rPr>
        <w:t xml:space="preserve"> </w:t>
      </w:r>
      <w:r w:rsidRPr="0008572D">
        <w:rPr>
          <w:rFonts w:ascii="Arial" w:hAnsi="Arial" w:cs="Arial"/>
          <w:sz w:val="24"/>
          <w:szCs w:val="24"/>
        </w:rPr>
        <w:t xml:space="preserve">Upon receiving an information request from FinCEN, a financial institution shall expeditiously search its records to determine whether it maintains or has maintained any account for, or has engaged in any transaction with, each individual, entity, or organization named in FinCEN's request. </w:t>
      </w:r>
    </w:p>
    <w:p w:rsidR="0008572D" w:rsidRPr="0008572D" w:rsidRDefault="0008572D" w:rsidP="0008572D">
      <w:pPr>
        <w:jc w:val="both"/>
        <w:rPr>
          <w:rFonts w:ascii="Arial" w:hAnsi="Arial" w:cs="Arial"/>
          <w:b/>
          <w:sz w:val="24"/>
          <w:szCs w:val="24"/>
        </w:rPr>
      </w:pPr>
      <w:r w:rsidRPr="0008572D">
        <w:rPr>
          <w:rFonts w:ascii="Arial" w:hAnsi="Arial" w:cs="Arial"/>
          <w:sz w:val="24"/>
          <w:szCs w:val="24"/>
        </w:rPr>
        <w:t xml:space="preserve">Except as otherwise provided in the information request, a financial institution shall only be required to search its records for: </w:t>
      </w:r>
    </w:p>
    <w:p w:rsidR="0008572D" w:rsidRPr="0008572D" w:rsidRDefault="0008572D" w:rsidP="0008572D">
      <w:pPr>
        <w:pStyle w:val="ListParagraph"/>
        <w:widowControl/>
        <w:numPr>
          <w:ilvl w:val="0"/>
          <w:numId w:val="28"/>
        </w:numPr>
        <w:spacing w:after="200" w:line="276" w:lineRule="auto"/>
        <w:jc w:val="both"/>
        <w:rPr>
          <w:rFonts w:ascii="Arial" w:hAnsi="Arial" w:cs="Arial"/>
          <w:b/>
          <w:szCs w:val="24"/>
        </w:rPr>
      </w:pPr>
      <w:r w:rsidRPr="0008572D">
        <w:rPr>
          <w:rFonts w:ascii="Arial" w:hAnsi="Arial" w:cs="Arial"/>
          <w:szCs w:val="24"/>
        </w:rPr>
        <w:t>Any current account maintained for a named suspect;</w:t>
      </w:r>
    </w:p>
    <w:p w:rsidR="0008572D" w:rsidRPr="0008572D" w:rsidRDefault="0008572D" w:rsidP="0008572D">
      <w:pPr>
        <w:pStyle w:val="ListParagraph"/>
        <w:widowControl/>
        <w:numPr>
          <w:ilvl w:val="0"/>
          <w:numId w:val="28"/>
        </w:numPr>
        <w:spacing w:after="200" w:line="276" w:lineRule="auto"/>
        <w:jc w:val="both"/>
        <w:rPr>
          <w:rFonts w:ascii="Arial" w:hAnsi="Arial" w:cs="Arial"/>
          <w:b/>
          <w:szCs w:val="24"/>
        </w:rPr>
      </w:pPr>
      <w:r w:rsidRPr="0008572D">
        <w:rPr>
          <w:rFonts w:ascii="Arial" w:hAnsi="Arial" w:cs="Arial"/>
          <w:szCs w:val="24"/>
        </w:rPr>
        <w:t xml:space="preserve">Any account maintained for a named suspect during the preceding twelve months; and </w:t>
      </w:r>
    </w:p>
    <w:p w:rsidR="0008572D" w:rsidRPr="0008572D" w:rsidRDefault="0008572D" w:rsidP="0008572D">
      <w:pPr>
        <w:pStyle w:val="ListParagraph"/>
        <w:widowControl/>
        <w:numPr>
          <w:ilvl w:val="0"/>
          <w:numId w:val="28"/>
        </w:numPr>
        <w:spacing w:after="200" w:line="276" w:lineRule="auto"/>
        <w:jc w:val="both"/>
        <w:rPr>
          <w:rFonts w:ascii="Arial" w:hAnsi="Arial" w:cs="Arial"/>
          <w:b/>
          <w:szCs w:val="24"/>
        </w:rPr>
      </w:pPr>
      <w:r w:rsidRPr="0008572D">
        <w:rPr>
          <w:rFonts w:ascii="Arial" w:hAnsi="Arial" w:cs="Arial"/>
          <w:szCs w:val="24"/>
        </w:rPr>
        <w:t xml:space="preserve">Any transaction conducted by or on behalf of a named suspect, or any transmittal of funds conducted in which a named suspect was either the transmittor or the recipient, during the preceding six months that is required under law or regulation to be recorded by the financial institution or is recorded and maintained electronically by the institution. </w:t>
      </w:r>
    </w:p>
    <w:p w:rsidR="0008572D" w:rsidRPr="0008572D" w:rsidRDefault="0008572D" w:rsidP="0008572D">
      <w:pPr>
        <w:pStyle w:val="NormalWeb"/>
        <w:spacing w:after="0" w:afterAutospacing="0"/>
        <w:jc w:val="both"/>
        <w:rPr>
          <w:rFonts w:ascii="Arial" w:hAnsi="Arial" w:cs="Arial"/>
        </w:rPr>
      </w:pPr>
      <w:r w:rsidRPr="0008572D">
        <w:rPr>
          <w:rFonts w:ascii="Arial" w:hAnsi="Arial" w:cs="Arial"/>
        </w:rPr>
        <w:t>If a financial institution identifies an account or transaction identified with any individual, entity, or organization named in a request from FinCEN, it shall report to FinCEN, in the manner and in the time frame specified in FinCEN's request, the following information:</w:t>
      </w:r>
    </w:p>
    <w:p w:rsidR="0008572D" w:rsidRPr="0008572D" w:rsidRDefault="0008572D" w:rsidP="0008572D">
      <w:pPr>
        <w:pStyle w:val="NormalWeb"/>
        <w:numPr>
          <w:ilvl w:val="0"/>
          <w:numId w:val="29"/>
        </w:numPr>
        <w:spacing w:after="0" w:afterAutospacing="0"/>
        <w:jc w:val="both"/>
        <w:rPr>
          <w:rFonts w:ascii="Arial" w:hAnsi="Arial" w:cs="Arial"/>
        </w:rPr>
      </w:pPr>
      <w:r w:rsidRPr="0008572D">
        <w:rPr>
          <w:rFonts w:ascii="Arial" w:hAnsi="Arial" w:cs="Arial"/>
        </w:rPr>
        <w:t xml:space="preserve">The name of such individual, entity, or organization; </w:t>
      </w:r>
    </w:p>
    <w:p w:rsidR="0008572D" w:rsidRPr="0008572D" w:rsidRDefault="0008572D" w:rsidP="0008572D">
      <w:pPr>
        <w:pStyle w:val="NormalWeb"/>
        <w:numPr>
          <w:ilvl w:val="0"/>
          <w:numId w:val="29"/>
        </w:numPr>
        <w:spacing w:after="0" w:afterAutospacing="0"/>
        <w:jc w:val="both"/>
        <w:rPr>
          <w:rFonts w:ascii="Arial" w:hAnsi="Arial" w:cs="Arial"/>
        </w:rPr>
      </w:pPr>
      <w:r w:rsidRPr="0008572D">
        <w:rPr>
          <w:rFonts w:ascii="Arial" w:hAnsi="Arial" w:cs="Arial"/>
        </w:rPr>
        <w:t xml:space="preserve">The number of each such account, or in the case of a transaction, the date and type of each such transaction; and </w:t>
      </w:r>
    </w:p>
    <w:p w:rsidR="0008572D" w:rsidRPr="0008572D" w:rsidRDefault="0008572D" w:rsidP="0008572D">
      <w:pPr>
        <w:pStyle w:val="NormalWeb"/>
        <w:numPr>
          <w:ilvl w:val="0"/>
          <w:numId w:val="29"/>
        </w:numPr>
        <w:spacing w:after="0" w:afterAutospacing="0"/>
        <w:jc w:val="both"/>
        <w:rPr>
          <w:rFonts w:ascii="Arial" w:hAnsi="Arial" w:cs="Arial"/>
        </w:rPr>
      </w:pPr>
      <w:r w:rsidRPr="0008572D">
        <w:rPr>
          <w:rFonts w:ascii="Arial" w:hAnsi="Arial" w:cs="Arial"/>
        </w:rPr>
        <w:t xml:space="preserve">Any Social Security number, taxpayer identification number, passport number, date of birth, address, or other similar identifying information provided by the individual, entity, or organization when each such account was opened or each such transaction was conducted. </w:t>
      </w:r>
    </w:p>
    <w:p w:rsidR="0008572D" w:rsidRPr="0008572D" w:rsidRDefault="0008572D" w:rsidP="0008572D">
      <w:pPr>
        <w:pStyle w:val="NormalWeb"/>
        <w:jc w:val="both"/>
        <w:rPr>
          <w:rFonts w:ascii="Arial" w:hAnsi="Arial" w:cs="Arial"/>
        </w:rPr>
      </w:pPr>
      <w:r w:rsidRPr="0008572D">
        <w:rPr>
          <w:rFonts w:ascii="Arial" w:hAnsi="Arial" w:cs="Arial"/>
        </w:rPr>
        <w:lastRenderedPageBreak/>
        <w:t xml:space="preserve">Upon receiving an information request under </w:t>
      </w:r>
      <w:r w:rsidR="002B7520">
        <w:rPr>
          <w:rFonts w:ascii="Arial" w:hAnsi="Arial" w:cs="Arial"/>
        </w:rPr>
        <w:t>314(a)</w:t>
      </w:r>
      <w:r w:rsidRPr="0008572D">
        <w:rPr>
          <w:rFonts w:ascii="Arial" w:hAnsi="Arial" w:cs="Arial"/>
        </w:rPr>
        <w:t>, a financial institution shall designate one person to be the point of contact at the institution regarding the request and to receive similar requests for information from FinCEN in the future</w:t>
      </w:r>
      <w:r w:rsidR="002B7520">
        <w:rPr>
          <w:rFonts w:ascii="Arial" w:hAnsi="Arial" w:cs="Arial"/>
        </w:rPr>
        <w:t>.</w:t>
      </w:r>
    </w:p>
    <w:p w:rsidR="0008572D" w:rsidRPr="0008572D" w:rsidRDefault="0008572D" w:rsidP="0008572D">
      <w:pPr>
        <w:pStyle w:val="NormalWeb"/>
        <w:jc w:val="both"/>
        <w:rPr>
          <w:rFonts w:ascii="Arial" w:hAnsi="Arial" w:cs="Arial"/>
        </w:rPr>
      </w:pPr>
      <w:r w:rsidRPr="0008572D">
        <w:rPr>
          <w:rFonts w:ascii="Arial" w:hAnsi="Arial" w:cs="Arial"/>
        </w:rPr>
        <w:t xml:space="preserve">A financial institution </w:t>
      </w:r>
      <w:r w:rsidR="002B7520">
        <w:rPr>
          <w:rFonts w:ascii="Arial" w:hAnsi="Arial" w:cs="Arial"/>
        </w:rPr>
        <w:t>can</w:t>
      </w:r>
      <w:r w:rsidRPr="0008572D">
        <w:rPr>
          <w:rFonts w:ascii="Arial" w:hAnsi="Arial" w:cs="Arial"/>
        </w:rPr>
        <w:t xml:space="preserve"> not use information provided by FinCEN pursuant to </w:t>
      </w:r>
      <w:r w:rsidR="002B7520">
        <w:rPr>
          <w:rFonts w:ascii="Arial" w:hAnsi="Arial" w:cs="Arial"/>
        </w:rPr>
        <w:t>314(a)</w:t>
      </w:r>
      <w:r w:rsidRPr="0008572D">
        <w:rPr>
          <w:rFonts w:ascii="Arial" w:hAnsi="Arial" w:cs="Arial"/>
        </w:rPr>
        <w:t xml:space="preserve"> for any purpose other than: Reporting to FinCEN as provided in this section; determining whether to establish or maintain an account, or to engage in a transaction; or assisting the financial institution in complying with any requirement of this chapter. </w:t>
      </w:r>
    </w:p>
    <w:p w:rsidR="0008572D" w:rsidRPr="0008572D" w:rsidRDefault="0008572D" w:rsidP="0008572D">
      <w:pPr>
        <w:pStyle w:val="NormalWeb"/>
        <w:jc w:val="both"/>
        <w:rPr>
          <w:rFonts w:ascii="Arial" w:hAnsi="Arial" w:cs="Arial"/>
        </w:rPr>
      </w:pPr>
      <w:r w:rsidRPr="0008572D">
        <w:rPr>
          <w:rFonts w:ascii="Arial" w:hAnsi="Arial" w:cs="Arial"/>
        </w:rPr>
        <w:t xml:space="preserve">Nothing in </w:t>
      </w:r>
      <w:r w:rsidR="002B7520">
        <w:rPr>
          <w:rFonts w:ascii="Arial" w:hAnsi="Arial" w:cs="Arial"/>
        </w:rPr>
        <w:t>314(a)</w:t>
      </w:r>
      <w:r w:rsidRPr="0008572D">
        <w:rPr>
          <w:rFonts w:ascii="Arial" w:hAnsi="Arial" w:cs="Arial"/>
        </w:rPr>
        <w:t xml:space="preserve"> </w:t>
      </w:r>
      <w:r w:rsidR="002B7520">
        <w:rPr>
          <w:rFonts w:ascii="Arial" w:hAnsi="Arial" w:cs="Arial"/>
        </w:rPr>
        <w:t>can</w:t>
      </w:r>
      <w:r w:rsidR="002B7520" w:rsidRPr="0008572D">
        <w:rPr>
          <w:rFonts w:ascii="Arial" w:hAnsi="Arial" w:cs="Arial"/>
        </w:rPr>
        <w:t xml:space="preserve"> </w:t>
      </w:r>
      <w:r w:rsidRPr="0008572D">
        <w:rPr>
          <w:rFonts w:ascii="Arial" w:hAnsi="Arial" w:cs="Arial"/>
        </w:rPr>
        <w:t xml:space="preserve">be construed to require a financial institution to take any action, or to decline to take any action, with respect to a relationship established for, or a transaction engaged in with, an individual, entity, or organization named in a request from FinCEN, or to decline to establish a relationship for, or to engage in a transaction with, any such individual, entity, or organization. Except as otherwise provided in an information request under </w:t>
      </w:r>
      <w:r w:rsidR="002B7520">
        <w:rPr>
          <w:rFonts w:ascii="Arial" w:hAnsi="Arial" w:cs="Arial"/>
        </w:rPr>
        <w:t>314(a)</w:t>
      </w:r>
      <w:r w:rsidRPr="0008572D">
        <w:rPr>
          <w:rFonts w:ascii="Arial" w:hAnsi="Arial" w:cs="Arial"/>
        </w:rPr>
        <w:t xml:space="preserve">, such a request </w:t>
      </w:r>
      <w:r w:rsidR="004025F3">
        <w:rPr>
          <w:rFonts w:ascii="Arial" w:hAnsi="Arial" w:cs="Arial"/>
        </w:rPr>
        <w:t>can</w:t>
      </w:r>
      <w:r w:rsidR="004025F3" w:rsidRPr="0008572D">
        <w:rPr>
          <w:rFonts w:ascii="Arial" w:hAnsi="Arial" w:cs="Arial"/>
        </w:rPr>
        <w:t>not</w:t>
      </w:r>
      <w:r w:rsidRPr="0008572D">
        <w:rPr>
          <w:rFonts w:ascii="Arial" w:hAnsi="Arial" w:cs="Arial"/>
        </w:rPr>
        <w:t xml:space="preserve"> require a financial institution to report on future account opening activity or transactions or to treat a suspect list received under </w:t>
      </w:r>
      <w:r w:rsidR="002B7520">
        <w:rPr>
          <w:rFonts w:ascii="Arial" w:hAnsi="Arial" w:cs="Arial"/>
        </w:rPr>
        <w:t>314(a)</w:t>
      </w:r>
      <w:r w:rsidRPr="0008572D">
        <w:rPr>
          <w:rFonts w:ascii="Arial" w:hAnsi="Arial" w:cs="Arial"/>
        </w:rPr>
        <w:t xml:space="preserve"> as a government list. </w:t>
      </w:r>
    </w:p>
    <w:p w:rsidR="002333BB" w:rsidRDefault="002333BB" w:rsidP="0008572D">
      <w:pPr>
        <w:pStyle w:val="Heading2"/>
        <w:rPr>
          <w:rFonts w:cs="Arial"/>
          <w:sz w:val="24"/>
          <w:szCs w:val="24"/>
        </w:rPr>
      </w:pPr>
    </w:p>
    <w:p w:rsidR="0008572D" w:rsidRPr="0008572D" w:rsidRDefault="0008572D" w:rsidP="0008572D">
      <w:pPr>
        <w:pStyle w:val="Heading2"/>
        <w:rPr>
          <w:rFonts w:cs="Arial"/>
          <w:sz w:val="24"/>
          <w:szCs w:val="24"/>
        </w:rPr>
      </w:pPr>
      <w:bookmarkStart w:id="19" w:name="_Toc335314202"/>
      <w:r w:rsidRPr="0008572D">
        <w:rPr>
          <w:rFonts w:cs="Arial"/>
          <w:sz w:val="24"/>
          <w:szCs w:val="24"/>
        </w:rPr>
        <w:t>Voluntary Information Sharing Among Financial Institutions 314(b) (31 CFR 1029.540)</w:t>
      </w:r>
      <w:bookmarkEnd w:id="19"/>
    </w:p>
    <w:p w:rsidR="0008572D" w:rsidRPr="0008572D" w:rsidRDefault="0008572D" w:rsidP="0008572D">
      <w:pPr>
        <w:rPr>
          <w:rFonts w:ascii="Arial" w:hAnsi="Arial" w:cs="Arial"/>
          <w:b/>
          <w:sz w:val="24"/>
          <w:szCs w:val="24"/>
        </w:rPr>
      </w:pPr>
    </w:p>
    <w:p w:rsidR="0008572D" w:rsidRPr="0008572D" w:rsidRDefault="0008572D" w:rsidP="0008572D">
      <w:pPr>
        <w:pStyle w:val="NormalWeb"/>
        <w:jc w:val="both"/>
        <w:rPr>
          <w:rFonts w:ascii="Arial" w:hAnsi="Arial" w:cs="Arial"/>
          <w:b/>
          <w:bCs/>
        </w:rPr>
      </w:pPr>
      <w:r w:rsidRPr="0008572D">
        <w:rPr>
          <w:rStyle w:val="Strong"/>
          <w:rFonts w:ascii="Arial" w:hAnsi="Arial" w:cs="Arial"/>
        </w:rPr>
        <w:t>A financial institution</w:t>
      </w:r>
      <w:r w:rsidRPr="0008572D">
        <w:rPr>
          <w:rFonts w:ascii="Arial" w:hAnsi="Arial" w:cs="Arial"/>
        </w:rPr>
        <w:t xml:space="preserve"> or an association of financial institutions may, under the protection of the safe harbor from liability, transmit, receive, or otherwise share information with any other financial institution or association of financial institutions regarding individuals, entities, organizations, and countries for purposes of identifying and, where appropriate, reporting activities that the financial institution or association suspects may involve possible terrorist activity or money laundering. </w:t>
      </w:r>
    </w:p>
    <w:p w:rsidR="0008572D" w:rsidRPr="0008572D" w:rsidRDefault="0008572D" w:rsidP="0008572D">
      <w:pPr>
        <w:pStyle w:val="NormalWeb"/>
        <w:jc w:val="both"/>
        <w:rPr>
          <w:rFonts w:ascii="Arial" w:hAnsi="Arial" w:cs="Arial"/>
        </w:rPr>
      </w:pPr>
      <w:r w:rsidRPr="0008572D">
        <w:rPr>
          <w:rFonts w:ascii="Arial" w:hAnsi="Arial" w:cs="Arial"/>
        </w:rPr>
        <w:t xml:space="preserve">A financial institution or association of financial institutions that intends to share information must submit to FinCEN a notice described on FinCEN's Internet Web site, </w:t>
      </w:r>
      <w:hyperlink r:id="rId13" w:history="1">
        <w:r w:rsidRPr="0008572D">
          <w:rPr>
            <w:rStyle w:val="Hyperlink"/>
            <w:rFonts w:ascii="Arial" w:hAnsi="Arial" w:cs="Arial"/>
          </w:rPr>
          <w:t>http://www.fincen.gov</w:t>
        </w:r>
      </w:hyperlink>
      <w:r w:rsidRPr="0008572D">
        <w:rPr>
          <w:rFonts w:ascii="Arial" w:hAnsi="Arial" w:cs="Arial"/>
        </w:rPr>
        <w:t xml:space="preserve">.  Each notice shall be effective for the one year period beginning on the date of the notice. In order to continue to engage in the sharing of information after the end of the one year period, a financial institution or association of financial institutions must submit a new notice. </w:t>
      </w:r>
    </w:p>
    <w:p w:rsidR="0008572D" w:rsidRPr="0008572D" w:rsidRDefault="0008572D" w:rsidP="0008572D">
      <w:pPr>
        <w:pStyle w:val="NormalWeb"/>
        <w:jc w:val="both"/>
        <w:rPr>
          <w:rFonts w:ascii="Arial" w:hAnsi="Arial" w:cs="Arial"/>
        </w:rPr>
      </w:pPr>
      <w:r w:rsidRPr="0008572D">
        <w:rPr>
          <w:rFonts w:ascii="Arial" w:hAnsi="Arial" w:cs="Arial"/>
        </w:rPr>
        <w:t>Prior to sharing information, a</w:t>
      </w:r>
      <w:r w:rsidR="004025F3">
        <w:rPr>
          <w:rFonts w:ascii="Arial" w:hAnsi="Arial" w:cs="Arial"/>
        </w:rPr>
        <w:t xml:space="preserve"> financial institution</w:t>
      </w:r>
      <w:r w:rsidRPr="0008572D">
        <w:rPr>
          <w:rFonts w:ascii="Arial" w:hAnsi="Arial" w:cs="Arial"/>
        </w:rPr>
        <w:t xml:space="preserve"> or an association of financial institutions must take reasonable steps to verify that the other financial institution or association of financial institutions with which it intends to share information has submitted to FinCEN the required notice.  A financial institution or an association of financial institution may satisfy this by confirming that the other financial institution or association of financial institutions appears on a list that FinCEN will periodically make available to financial institutions or associations of financial institutions that have filed a </w:t>
      </w:r>
      <w:r w:rsidRPr="0008572D">
        <w:rPr>
          <w:rFonts w:ascii="Arial" w:hAnsi="Arial" w:cs="Arial"/>
        </w:rPr>
        <w:lastRenderedPageBreak/>
        <w:t>notice with it, or by confirming directly with the other financial institution or association of financial institutions that the requisite notice has been filed.</w:t>
      </w:r>
    </w:p>
    <w:p w:rsidR="0008572D" w:rsidRPr="0008572D" w:rsidRDefault="0008572D" w:rsidP="0008572D">
      <w:pPr>
        <w:pStyle w:val="NormalWeb"/>
        <w:jc w:val="both"/>
        <w:rPr>
          <w:rFonts w:ascii="Arial" w:hAnsi="Arial" w:cs="Arial"/>
        </w:rPr>
      </w:pPr>
      <w:r w:rsidRPr="0008572D">
        <w:rPr>
          <w:rFonts w:ascii="Arial" w:hAnsi="Arial" w:cs="Arial"/>
        </w:rPr>
        <w:t xml:space="preserve">Information received by an financial institution or an association of financial institutions pursuant to this section shall not be used for any purpose other than:  Identifying and, where appropriate, reporting on money laundering or terrorist activities; Determining whether to establish or maintain an account, or to engage in a transaction; or </w:t>
      </w:r>
      <w:r w:rsidR="004025F3">
        <w:rPr>
          <w:rFonts w:ascii="Arial" w:hAnsi="Arial" w:cs="Arial"/>
        </w:rPr>
        <w:t>a</w:t>
      </w:r>
      <w:r w:rsidR="004025F3" w:rsidRPr="0008572D">
        <w:rPr>
          <w:rFonts w:ascii="Arial" w:hAnsi="Arial" w:cs="Arial"/>
        </w:rPr>
        <w:t xml:space="preserve">ssisting </w:t>
      </w:r>
      <w:r w:rsidRPr="0008572D">
        <w:rPr>
          <w:rFonts w:ascii="Arial" w:hAnsi="Arial" w:cs="Arial"/>
        </w:rPr>
        <w:t xml:space="preserve">the financial institution in complying with any requirement of </w:t>
      </w:r>
      <w:r w:rsidR="004025F3">
        <w:rPr>
          <w:rFonts w:ascii="Arial" w:hAnsi="Arial" w:cs="Arial"/>
        </w:rPr>
        <w:t>31 C.F.R. Parts 1000 - 1009</w:t>
      </w:r>
      <w:r w:rsidRPr="0008572D">
        <w:rPr>
          <w:rFonts w:ascii="Arial" w:hAnsi="Arial" w:cs="Arial"/>
        </w:rPr>
        <w:t xml:space="preserve">. </w:t>
      </w:r>
    </w:p>
    <w:p w:rsidR="0008572D" w:rsidRDefault="0008572D" w:rsidP="0008572D">
      <w:pPr>
        <w:pStyle w:val="NormalWeb"/>
        <w:jc w:val="both"/>
        <w:rPr>
          <w:rFonts w:ascii="Arial" w:hAnsi="Arial" w:cs="Arial"/>
        </w:rPr>
      </w:pPr>
      <w:r w:rsidRPr="0008572D">
        <w:rPr>
          <w:rFonts w:ascii="Arial" w:hAnsi="Arial" w:cs="Arial"/>
        </w:rPr>
        <w:t xml:space="preserve">If, as a result of information shared, an RMLO knows, suspects, or has reason to suspect that an individual, entity, or organization is involved in, or may be involved in terrorist activity or money laundering, and such institution is subject to a suspicious activity reporting requirement, the institution shall file a SAR in accordance with those regulations.  In situations involving violations requiring immediate attention, such as when a reportable violation involves terrorist activity or is ongoing, the RMLO shall immediately notify, by telephone, an appropriate law enforcement authority and RMLO supervisory authorities in addition to filing timely a SAR. </w:t>
      </w:r>
    </w:p>
    <w:p w:rsidR="0008572D" w:rsidRPr="0008572D" w:rsidRDefault="0008572D" w:rsidP="0008572D">
      <w:pPr>
        <w:pStyle w:val="NormalWeb"/>
        <w:jc w:val="both"/>
        <w:rPr>
          <w:rFonts w:ascii="Arial" w:hAnsi="Arial" w:cs="Arial"/>
        </w:rPr>
      </w:pPr>
    </w:p>
    <w:p w:rsidR="0008572D" w:rsidRPr="0008572D" w:rsidRDefault="0008572D" w:rsidP="0008572D">
      <w:pPr>
        <w:pStyle w:val="Heading2"/>
        <w:rPr>
          <w:rFonts w:cs="Arial"/>
          <w:sz w:val="24"/>
          <w:szCs w:val="24"/>
        </w:rPr>
      </w:pPr>
      <w:bookmarkStart w:id="20" w:name="_Toc335314203"/>
      <w:r w:rsidRPr="0008572D">
        <w:rPr>
          <w:rFonts w:cs="Arial"/>
          <w:sz w:val="24"/>
          <w:szCs w:val="24"/>
        </w:rPr>
        <w:t>Examination Objectives</w:t>
      </w:r>
      <w:r w:rsidR="002B24D3">
        <w:rPr>
          <w:rFonts w:cs="Arial"/>
          <w:sz w:val="24"/>
          <w:szCs w:val="24"/>
        </w:rPr>
        <w:t xml:space="preserve"> and Procedures</w:t>
      </w:r>
      <w:bookmarkEnd w:id="20"/>
    </w:p>
    <w:p w:rsidR="0008572D" w:rsidRPr="0008572D" w:rsidRDefault="0008572D" w:rsidP="0008572D">
      <w:pPr>
        <w:rPr>
          <w:rFonts w:ascii="Arial" w:hAnsi="Arial" w:cs="Arial"/>
          <w:b/>
          <w:sz w:val="24"/>
          <w:szCs w:val="24"/>
        </w:rPr>
      </w:pPr>
    </w:p>
    <w:p w:rsidR="0008572D" w:rsidRPr="0008572D" w:rsidRDefault="0008572D" w:rsidP="0008572D">
      <w:pPr>
        <w:jc w:val="both"/>
        <w:rPr>
          <w:rFonts w:ascii="Arial" w:hAnsi="Arial" w:cs="Arial"/>
          <w:sz w:val="24"/>
          <w:szCs w:val="24"/>
        </w:rPr>
      </w:pPr>
      <w:r w:rsidRPr="0008572D">
        <w:rPr>
          <w:rFonts w:ascii="Arial" w:hAnsi="Arial" w:cs="Arial"/>
          <w:sz w:val="24"/>
          <w:szCs w:val="24"/>
        </w:rPr>
        <w:t xml:space="preserve">Assess the adequacy of the company’s reporting and recordkeeping procedures for the following: </w:t>
      </w:r>
    </w:p>
    <w:p w:rsidR="0008572D" w:rsidRPr="0008572D" w:rsidRDefault="0008572D" w:rsidP="0008572D">
      <w:pPr>
        <w:pStyle w:val="ListParagraph"/>
        <w:numPr>
          <w:ilvl w:val="0"/>
          <w:numId w:val="30"/>
        </w:numPr>
        <w:jc w:val="both"/>
        <w:rPr>
          <w:rFonts w:ascii="Arial" w:hAnsi="Arial" w:cs="Arial"/>
          <w:szCs w:val="24"/>
        </w:rPr>
      </w:pPr>
      <w:r w:rsidRPr="0008572D">
        <w:rPr>
          <w:rFonts w:ascii="Arial" w:hAnsi="Arial" w:cs="Arial"/>
          <w:szCs w:val="24"/>
        </w:rPr>
        <w:t>Suspicious Activity Reports (SARs)</w:t>
      </w:r>
    </w:p>
    <w:p w:rsidR="0008572D" w:rsidRPr="0008572D" w:rsidRDefault="0008572D" w:rsidP="0008572D">
      <w:pPr>
        <w:pStyle w:val="ListParagraph"/>
        <w:numPr>
          <w:ilvl w:val="0"/>
          <w:numId w:val="30"/>
        </w:numPr>
        <w:jc w:val="both"/>
        <w:rPr>
          <w:rFonts w:ascii="Arial" w:hAnsi="Arial" w:cs="Arial"/>
          <w:szCs w:val="24"/>
        </w:rPr>
      </w:pPr>
      <w:r w:rsidRPr="0008572D">
        <w:rPr>
          <w:rFonts w:ascii="Arial" w:hAnsi="Arial" w:cs="Arial"/>
          <w:szCs w:val="24"/>
        </w:rPr>
        <w:t xml:space="preserve">Form 8300 – Reports relating to currency in excess of $10,000 </w:t>
      </w:r>
    </w:p>
    <w:p w:rsidR="0008572D" w:rsidRPr="0008572D" w:rsidRDefault="0008572D" w:rsidP="0008572D">
      <w:pPr>
        <w:pStyle w:val="ListParagraph"/>
        <w:numPr>
          <w:ilvl w:val="0"/>
          <w:numId w:val="30"/>
        </w:numPr>
        <w:jc w:val="both"/>
        <w:rPr>
          <w:rFonts w:ascii="Arial" w:hAnsi="Arial" w:cs="Arial"/>
          <w:szCs w:val="24"/>
        </w:rPr>
      </w:pPr>
      <w:r w:rsidRPr="0008572D">
        <w:rPr>
          <w:rFonts w:ascii="Arial" w:hAnsi="Arial" w:cs="Arial"/>
          <w:szCs w:val="24"/>
        </w:rPr>
        <w:t>Foreign Bank and Financial Accounts Reports (FBAR)</w:t>
      </w:r>
    </w:p>
    <w:p w:rsidR="0008572D" w:rsidRPr="0008572D" w:rsidRDefault="0008572D" w:rsidP="0008572D">
      <w:pPr>
        <w:pStyle w:val="ListParagraph"/>
        <w:numPr>
          <w:ilvl w:val="0"/>
          <w:numId w:val="30"/>
        </w:numPr>
        <w:jc w:val="both"/>
        <w:rPr>
          <w:rFonts w:ascii="Arial" w:hAnsi="Arial" w:cs="Arial"/>
          <w:szCs w:val="24"/>
        </w:rPr>
      </w:pPr>
      <w:r w:rsidRPr="0008572D">
        <w:rPr>
          <w:rFonts w:ascii="Arial" w:hAnsi="Arial" w:cs="Arial"/>
          <w:szCs w:val="24"/>
        </w:rPr>
        <w:t>International Transportation of Currency or Monetary Instruments (CMIR)</w:t>
      </w:r>
    </w:p>
    <w:p w:rsidR="0008572D" w:rsidRPr="0008572D" w:rsidRDefault="0008572D" w:rsidP="0008572D">
      <w:pPr>
        <w:pStyle w:val="ListParagraph"/>
        <w:numPr>
          <w:ilvl w:val="0"/>
          <w:numId w:val="30"/>
        </w:numPr>
        <w:jc w:val="both"/>
        <w:rPr>
          <w:rFonts w:ascii="Arial" w:hAnsi="Arial" w:cs="Arial"/>
          <w:szCs w:val="24"/>
        </w:rPr>
      </w:pPr>
      <w:r w:rsidRPr="0008572D">
        <w:rPr>
          <w:rFonts w:ascii="Arial" w:hAnsi="Arial" w:cs="Arial"/>
          <w:szCs w:val="24"/>
        </w:rPr>
        <w:t>Information Sharing  314(a) &amp; 314(b)</w:t>
      </w:r>
    </w:p>
    <w:p w:rsidR="002B24D3" w:rsidRDefault="002B24D3" w:rsidP="0008572D">
      <w:pPr>
        <w:pStyle w:val="ListParagraph"/>
        <w:jc w:val="both"/>
        <w:rPr>
          <w:rFonts w:ascii="Arial" w:hAnsi="Arial" w:cs="Arial"/>
          <w:szCs w:val="24"/>
        </w:rPr>
      </w:pPr>
    </w:p>
    <w:p w:rsidR="002B24D3" w:rsidRPr="002B24D3" w:rsidRDefault="002B24D3" w:rsidP="002B24D3">
      <w:pPr>
        <w:pStyle w:val="ListParagraph"/>
        <w:ind w:left="0"/>
        <w:jc w:val="both"/>
        <w:rPr>
          <w:rFonts w:ascii="Arial" w:hAnsi="Arial" w:cs="Arial"/>
          <w:i/>
          <w:szCs w:val="24"/>
        </w:rPr>
      </w:pPr>
      <w:r w:rsidRPr="002B24D3">
        <w:rPr>
          <w:rFonts w:ascii="Arial" w:hAnsi="Arial" w:cs="Arial"/>
          <w:i/>
          <w:szCs w:val="24"/>
        </w:rPr>
        <w:t>Reporting Requirements Exam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3727"/>
        <w:gridCol w:w="389"/>
        <w:gridCol w:w="390"/>
        <w:gridCol w:w="4431"/>
      </w:tblGrid>
      <w:tr w:rsidR="007E199D" w:rsidRPr="00CA6276" w:rsidTr="00FC1DFC">
        <w:tc>
          <w:tcPr>
            <w:tcW w:w="639" w:type="dxa"/>
            <w:shd w:val="clear" w:color="auto" w:fill="B8CCE4"/>
          </w:tcPr>
          <w:p w:rsidR="007E199D" w:rsidRPr="00CA6276" w:rsidRDefault="007E199D" w:rsidP="00C3748E">
            <w:pPr>
              <w:spacing w:after="0"/>
              <w:jc w:val="center"/>
              <w:rPr>
                <w:rFonts w:ascii="Arial" w:hAnsi="Arial" w:cs="Arial"/>
                <w:sz w:val="24"/>
                <w:szCs w:val="24"/>
              </w:rPr>
            </w:pPr>
          </w:p>
        </w:tc>
        <w:tc>
          <w:tcPr>
            <w:tcW w:w="3727" w:type="dxa"/>
            <w:shd w:val="clear" w:color="auto" w:fill="B8CCE4"/>
          </w:tcPr>
          <w:p w:rsidR="007E199D" w:rsidRPr="00CA6276" w:rsidRDefault="007E199D" w:rsidP="009F0C33">
            <w:pPr>
              <w:spacing w:after="0" w:line="240" w:lineRule="auto"/>
              <w:rPr>
                <w:rFonts w:ascii="Arial" w:hAnsi="Arial" w:cs="Arial"/>
                <w:sz w:val="24"/>
                <w:szCs w:val="24"/>
              </w:rPr>
            </w:pPr>
          </w:p>
          <w:p w:rsidR="007E199D" w:rsidRPr="00CA6276" w:rsidRDefault="007E199D" w:rsidP="009F0C33">
            <w:pPr>
              <w:spacing w:after="0" w:line="240" w:lineRule="auto"/>
              <w:rPr>
                <w:rFonts w:ascii="Arial" w:hAnsi="Arial" w:cs="Arial"/>
                <w:sz w:val="24"/>
                <w:szCs w:val="24"/>
              </w:rPr>
            </w:pPr>
            <w:r w:rsidRPr="00CA6276">
              <w:rPr>
                <w:rFonts w:ascii="Arial" w:hAnsi="Arial" w:cs="Arial"/>
                <w:sz w:val="24"/>
                <w:szCs w:val="24"/>
              </w:rPr>
              <w:t>Examination Procedures</w:t>
            </w:r>
          </w:p>
        </w:tc>
        <w:tc>
          <w:tcPr>
            <w:tcW w:w="389" w:type="dxa"/>
            <w:shd w:val="clear" w:color="auto" w:fill="B8CCE4"/>
          </w:tcPr>
          <w:p w:rsidR="007E199D" w:rsidRPr="00CA6276" w:rsidRDefault="007E199D" w:rsidP="00C3748E">
            <w:pPr>
              <w:spacing w:after="0"/>
              <w:rPr>
                <w:rFonts w:ascii="Arial" w:hAnsi="Arial" w:cs="Arial"/>
                <w:sz w:val="24"/>
                <w:szCs w:val="24"/>
              </w:rPr>
            </w:pPr>
          </w:p>
          <w:p w:rsidR="007E199D" w:rsidRPr="00CA6276" w:rsidRDefault="007E199D" w:rsidP="00C3748E">
            <w:pPr>
              <w:spacing w:after="0"/>
              <w:rPr>
                <w:rFonts w:ascii="Arial" w:hAnsi="Arial" w:cs="Arial"/>
                <w:sz w:val="24"/>
                <w:szCs w:val="24"/>
              </w:rPr>
            </w:pPr>
            <w:r w:rsidRPr="00CA6276">
              <w:rPr>
                <w:rFonts w:ascii="Arial" w:hAnsi="Arial" w:cs="Arial"/>
                <w:sz w:val="24"/>
                <w:szCs w:val="24"/>
              </w:rPr>
              <w:t>Y</w:t>
            </w:r>
          </w:p>
        </w:tc>
        <w:tc>
          <w:tcPr>
            <w:tcW w:w="390" w:type="dxa"/>
            <w:shd w:val="clear" w:color="auto" w:fill="B8CCE4"/>
          </w:tcPr>
          <w:p w:rsidR="007E199D" w:rsidRPr="00CA6276" w:rsidRDefault="007E199D" w:rsidP="00C3748E">
            <w:pPr>
              <w:spacing w:after="0"/>
              <w:rPr>
                <w:rFonts w:ascii="Arial" w:hAnsi="Arial" w:cs="Arial"/>
                <w:sz w:val="24"/>
                <w:szCs w:val="24"/>
              </w:rPr>
            </w:pPr>
          </w:p>
          <w:p w:rsidR="007E199D" w:rsidRPr="00CA6276" w:rsidRDefault="007E199D" w:rsidP="00C3748E">
            <w:pPr>
              <w:spacing w:after="0"/>
              <w:rPr>
                <w:rFonts w:ascii="Arial" w:hAnsi="Arial" w:cs="Arial"/>
                <w:sz w:val="24"/>
                <w:szCs w:val="24"/>
              </w:rPr>
            </w:pPr>
            <w:r w:rsidRPr="00CA6276">
              <w:rPr>
                <w:rFonts w:ascii="Arial" w:hAnsi="Arial" w:cs="Arial"/>
                <w:sz w:val="24"/>
                <w:szCs w:val="24"/>
              </w:rPr>
              <w:t>N</w:t>
            </w:r>
          </w:p>
        </w:tc>
        <w:tc>
          <w:tcPr>
            <w:tcW w:w="4431" w:type="dxa"/>
            <w:shd w:val="clear" w:color="auto" w:fill="B8CCE4"/>
          </w:tcPr>
          <w:p w:rsidR="007E199D" w:rsidRPr="00CA6276" w:rsidRDefault="007E199D" w:rsidP="00C3748E">
            <w:pPr>
              <w:spacing w:after="0"/>
              <w:rPr>
                <w:rFonts w:ascii="Arial" w:hAnsi="Arial" w:cs="Arial"/>
                <w:sz w:val="24"/>
                <w:szCs w:val="24"/>
              </w:rPr>
            </w:pPr>
            <w:r w:rsidRPr="00CA6276">
              <w:rPr>
                <w:rFonts w:ascii="Arial" w:hAnsi="Arial" w:cs="Arial"/>
                <w:sz w:val="24"/>
                <w:szCs w:val="24"/>
              </w:rPr>
              <w:t xml:space="preserve">Examiner Notes [Document supporting evidence and note determinations and findings made] </w:t>
            </w:r>
          </w:p>
        </w:tc>
      </w:tr>
      <w:tr w:rsidR="007E199D" w:rsidRPr="00CA6276" w:rsidTr="00C3748E">
        <w:tc>
          <w:tcPr>
            <w:tcW w:w="9576" w:type="dxa"/>
            <w:gridSpan w:val="5"/>
            <w:shd w:val="clear" w:color="auto" w:fill="D9D9D9"/>
          </w:tcPr>
          <w:p w:rsidR="007E199D" w:rsidRPr="00CA6276" w:rsidRDefault="007E199D" w:rsidP="009F0C33">
            <w:pPr>
              <w:spacing w:after="0" w:line="240" w:lineRule="auto"/>
              <w:rPr>
                <w:rFonts w:ascii="Arial" w:hAnsi="Arial" w:cs="Arial"/>
                <w:b/>
                <w:sz w:val="24"/>
                <w:szCs w:val="24"/>
              </w:rPr>
            </w:pPr>
            <w:r w:rsidRPr="00CA6276">
              <w:rPr>
                <w:rFonts w:ascii="Arial" w:hAnsi="Arial" w:cs="Arial"/>
                <w:b/>
                <w:sz w:val="24"/>
                <w:szCs w:val="24"/>
              </w:rPr>
              <w:t>Suspicious Activity Reports – 31 CFR 1029.320</w:t>
            </w:r>
          </w:p>
        </w:tc>
      </w:tr>
      <w:tr w:rsidR="007E199D" w:rsidRPr="00CA6276" w:rsidTr="00C3748E">
        <w:tc>
          <w:tcPr>
            <w:tcW w:w="639" w:type="dxa"/>
          </w:tcPr>
          <w:p w:rsidR="007E199D" w:rsidRPr="00CA6276" w:rsidRDefault="007E199D" w:rsidP="00C3748E">
            <w:pPr>
              <w:spacing w:after="0"/>
              <w:jc w:val="center"/>
              <w:rPr>
                <w:rFonts w:ascii="Arial" w:hAnsi="Arial" w:cs="Arial"/>
                <w:sz w:val="24"/>
                <w:szCs w:val="24"/>
              </w:rPr>
            </w:pPr>
            <w:r w:rsidRPr="00CA6276">
              <w:rPr>
                <w:rFonts w:ascii="Arial" w:hAnsi="Arial" w:cs="Arial"/>
                <w:sz w:val="24"/>
                <w:szCs w:val="24"/>
              </w:rPr>
              <w:t>1</w:t>
            </w:r>
          </w:p>
        </w:tc>
        <w:tc>
          <w:tcPr>
            <w:tcW w:w="3727" w:type="dxa"/>
          </w:tcPr>
          <w:p w:rsidR="007E199D" w:rsidRPr="002B24D3" w:rsidRDefault="007E199D" w:rsidP="009F0C33">
            <w:pPr>
              <w:pStyle w:val="ListParagraph"/>
              <w:numPr>
                <w:ilvl w:val="0"/>
                <w:numId w:val="33"/>
              </w:numPr>
              <w:ind w:left="414"/>
              <w:rPr>
                <w:rFonts w:ascii="Arial" w:hAnsi="Arial" w:cs="Arial"/>
                <w:szCs w:val="24"/>
              </w:rPr>
            </w:pPr>
            <w:r w:rsidRPr="002B24D3">
              <w:rPr>
                <w:rFonts w:ascii="Arial" w:hAnsi="Arial" w:cs="Arial"/>
                <w:szCs w:val="24"/>
              </w:rPr>
              <w:t xml:space="preserve">Review the company’s policies and procedures for identifying and reporting suspicious activity.  They should include:  </w:t>
            </w:r>
          </w:p>
          <w:p w:rsidR="007E199D" w:rsidRPr="002B24D3" w:rsidRDefault="007E199D" w:rsidP="009F0C33">
            <w:pPr>
              <w:pStyle w:val="ListParagraph"/>
              <w:numPr>
                <w:ilvl w:val="0"/>
                <w:numId w:val="45"/>
              </w:numPr>
              <w:ind w:left="774"/>
              <w:rPr>
                <w:rFonts w:ascii="Arial" w:hAnsi="Arial" w:cs="Arial"/>
                <w:szCs w:val="24"/>
              </w:rPr>
            </w:pPr>
            <w:r w:rsidRPr="002B24D3">
              <w:rPr>
                <w:rFonts w:ascii="Arial" w:hAnsi="Arial" w:cs="Arial"/>
                <w:szCs w:val="24"/>
              </w:rPr>
              <w:t xml:space="preserve">Designation of individual responsible for compliance with 31 CFR </w:t>
            </w:r>
            <w:r w:rsidRPr="002B24D3">
              <w:rPr>
                <w:rFonts w:ascii="Arial" w:hAnsi="Arial" w:cs="Arial"/>
                <w:szCs w:val="24"/>
              </w:rPr>
              <w:lastRenderedPageBreak/>
              <w:t>1029.320.</w:t>
            </w:r>
          </w:p>
          <w:p w:rsidR="007E199D" w:rsidRPr="002B24D3" w:rsidRDefault="007E199D" w:rsidP="009F0C33">
            <w:pPr>
              <w:pStyle w:val="ListParagraph"/>
              <w:numPr>
                <w:ilvl w:val="0"/>
                <w:numId w:val="45"/>
              </w:numPr>
              <w:ind w:left="774"/>
              <w:rPr>
                <w:rFonts w:ascii="Arial" w:hAnsi="Arial" w:cs="Arial"/>
                <w:szCs w:val="24"/>
              </w:rPr>
            </w:pPr>
            <w:r w:rsidRPr="002B24D3">
              <w:rPr>
                <w:rFonts w:ascii="Arial" w:hAnsi="Arial" w:cs="Arial"/>
                <w:szCs w:val="24"/>
              </w:rPr>
              <w:t>Monitoring systems and procedures used to identify unusual activity.</w:t>
            </w:r>
          </w:p>
          <w:p w:rsidR="007E199D" w:rsidRPr="002B24D3" w:rsidRDefault="007E199D" w:rsidP="009F0C33">
            <w:pPr>
              <w:pStyle w:val="ListParagraph"/>
              <w:numPr>
                <w:ilvl w:val="0"/>
                <w:numId w:val="45"/>
              </w:numPr>
              <w:ind w:left="774"/>
              <w:rPr>
                <w:rFonts w:ascii="Arial" w:hAnsi="Arial" w:cs="Arial"/>
                <w:szCs w:val="24"/>
              </w:rPr>
            </w:pPr>
            <w:r w:rsidRPr="002B24D3">
              <w:rPr>
                <w:rFonts w:ascii="Arial" w:hAnsi="Arial" w:cs="Arial"/>
                <w:szCs w:val="24"/>
              </w:rPr>
              <w:t xml:space="preserve">Procedures for documenting decisions not to file a SAR. </w:t>
            </w:r>
          </w:p>
          <w:p w:rsidR="007279F4" w:rsidRPr="007279F4" w:rsidRDefault="007E199D" w:rsidP="007279F4">
            <w:pPr>
              <w:pStyle w:val="ListParagraph"/>
              <w:numPr>
                <w:ilvl w:val="0"/>
                <w:numId w:val="45"/>
              </w:numPr>
              <w:ind w:left="774"/>
              <w:rPr>
                <w:rFonts w:ascii="Arial" w:hAnsi="Arial" w:cs="Arial"/>
                <w:szCs w:val="24"/>
              </w:rPr>
            </w:pPr>
            <w:r w:rsidRPr="002B24D3">
              <w:rPr>
                <w:rFonts w:ascii="Arial" w:hAnsi="Arial" w:cs="Arial"/>
                <w:szCs w:val="24"/>
              </w:rPr>
              <w:t>Procedures for completing and retaining supporting documentation.</w:t>
            </w:r>
          </w:p>
          <w:p w:rsidR="007279F4" w:rsidRDefault="007279F4" w:rsidP="007279F4">
            <w:pPr>
              <w:pStyle w:val="ListParagraph"/>
              <w:ind w:left="774"/>
              <w:rPr>
                <w:rFonts w:ascii="Arial" w:hAnsi="Arial" w:cs="Arial"/>
                <w:szCs w:val="24"/>
              </w:rPr>
            </w:pPr>
          </w:p>
          <w:p w:rsidR="00C07A37" w:rsidRPr="002B24D3" w:rsidRDefault="00C07A37" w:rsidP="009F0C33">
            <w:pPr>
              <w:pStyle w:val="ListParagraph"/>
              <w:numPr>
                <w:ilvl w:val="0"/>
                <w:numId w:val="45"/>
              </w:numPr>
              <w:ind w:left="774"/>
              <w:rPr>
                <w:rFonts w:ascii="Arial" w:hAnsi="Arial" w:cs="Arial"/>
                <w:szCs w:val="24"/>
              </w:rPr>
            </w:pPr>
            <w:r>
              <w:rPr>
                <w:rFonts w:ascii="Arial" w:hAnsi="Arial" w:cs="Arial"/>
                <w:szCs w:val="24"/>
              </w:rPr>
              <w:t>Adequacy of confidentiality process.</w:t>
            </w:r>
          </w:p>
          <w:p w:rsidR="007E199D" w:rsidRPr="00CA6276" w:rsidRDefault="007E199D" w:rsidP="009F0C33">
            <w:pPr>
              <w:spacing w:after="0" w:line="240" w:lineRule="auto"/>
              <w:rPr>
                <w:rFonts w:ascii="Arial" w:hAnsi="Arial" w:cs="Arial"/>
                <w:sz w:val="24"/>
                <w:szCs w:val="24"/>
              </w:rPr>
            </w:pPr>
          </w:p>
        </w:tc>
        <w:tc>
          <w:tcPr>
            <w:tcW w:w="389" w:type="dxa"/>
          </w:tcPr>
          <w:p w:rsidR="007E199D" w:rsidRPr="00CA6276" w:rsidRDefault="007E199D" w:rsidP="00C3748E">
            <w:pPr>
              <w:spacing w:after="0"/>
              <w:rPr>
                <w:rFonts w:ascii="Arial" w:hAnsi="Arial" w:cs="Arial"/>
                <w:sz w:val="24"/>
                <w:szCs w:val="24"/>
              </w:rPr>
            </w:pPr>
          </w:p>
        </w:tc>
        <w:tc>
          <w:tcPr>
            <w:tcW w:w="390" w:type="dxa"/>
          </w:tcPr>
          <w:p w:rsidR="007E199D" w:rsidRPr="00CA6276" w:rsidRDefault="007E199D" w:rsidP="00C3748E">
            <w:pPr>
              <w:spacing w:after="0"/>
              <w:rPr>
                <w:rFonts w:ascii="Arial" w:hAnsi="Arial" w:cs="Arial"/>
                <w:sz w:val="24"/>
                <w:szCs w:val="24"/>
              </w:rPr>
            </w:pPr>
          </w:p>
        </w:tc>
        <w:tc>
          <w:tcPr>
            <w:tcW w:w="4431" w:type="dxa"/>
          </w:tcPr>
          <w:p w:rsidR="007E199D" w:rsidRPr="00CA6276" w:rsidRDefault="007E199D" w:rsidP="00C3748E">
            <w:pPr>
              <w:spacing w:after="0"/>
              <w:rPr>
                <w:rFonts w:ascii="Arial" w:hAnsi="Arial" w:cs="Arial"/>
                <w:sz w:val="24"/>
                <w:szCs w:val="24"/>
              </w:rPr>
            </w:pPr>
          </w:p>
        </w:tc>
      </w:tr>
      <w:tr w:rsidR="007E199D" w:rsidRPr="00CA6276" w:rsidTr="00C3748E">
        <w:tc>
          <w:tcPr>
            <w:tcW w:w="639" w:type="dxa"/>
          </w:tcPr>
          <w:p w:rsidR="007E199D" w:rsidRPr="00CA6276" w:rsidRDefault="007E199D" w:rsidP="00C3748E">
            <w:pPr>
              <w:spacing w:after="0"/>
              <w:jc w:val="center"/>
              <w:rPr>
                <w:rFonts w:ascii="Arial" w:hAnsi="Arial" w:cs="Arial"/>
                <w:sz w:val="24"/>
                <w:szCs w:val="24"/>
              </w:rPr>
            </w:pPr>
            <w:r w:rsidRPr="00CA6276">
              <w:rPr>
                <w:rFonts w:ascii="Arial" w:hAnsi="Arial" w:cs="Arial"/>
                <w:sz w:val="24"/>
                <w:szCs w:val="24"/>
              </w:rPr>
              <w:lastRenderedPageBreak/>
              <w:t>2</w:t>
            </w:r>
          </w:p>
        </w:tc>
        <w:tc>
          <w:tcPr>
            <w:tcW w:w="3727" w:type="dxa"/>
          </w:tcPr>
          <w:p w:rsidR="007E199D" w:rsidRPr="00CA6276" w:rsidRDefault="007E199D" w:rsidP="009F0C33">
            <w:pPr>
              <w:widowControl w:val="0"/>
              <w:spacing w:after="0" w:line="240" w:lineRule="auto"/>
              <w:rPr>
                <w:rFonts w:ascii="Arial" w:hAnsi="Arial" w:cs="Arial"/>
                <w:sz w:val="24"/>
                <w:szCs w:val="24"/>
                <w:u w:val="single"/>
              </w:rPr>
            </w:pPr>
            <w:r w:rsidRPr="00CA6276">
              <w:rPr>
                <w:rFonts w:ascii="Arial" w:hAnsi="Arial" w:cs="Arial"/>
                <w:sz w:val="24"/>
                <w:szCs w:val="24"/>
                <w:u w:val="single"/>
              </w:rPr>
              <w:t>Transaction Testing</w:t>
            </w:r>
          </w:p>
          <w:p w:rsidR="007E199D" w:rsidRPr="00CA6276" w:rsidRDefault="007E199D" w:rsidP="009F0C33">
            <w:pPr>
              <w:widowControl w:val="0"/>
              <w:spacing w:after="0" w:line="240" w:lineRule="auto"/>
              <w:rPr>
                <w:rFonts w:ascii="Arial" w:hAnsi="Arial" w:cs="Arial"/>
                <w:sz w:val="24"/>
                <w:szCs w:val="24"/>
              </w:rPr>
            </w:pPr>
            <w:r w:rsidRPr="00CA6276">
              <w:rPr>
                <w:rFonts w:ascii="Arial" w:hAnsi="Arial" w:cs="Arial"/>
                <w:sz w:val="24"/>
                <w:szCs w:val="24"/>
              </w:rPr>
              <w:t xml:space="preserve">On the basis of a risk assessment, prior examinations and independent testing findings, sample transactions and filed SARs to review the following:  </w:t>
            </w:r>
          </w:p>
          <w:p w:rsidR="007E199D" w:rsidRPr="002B24D3" w:rsidRDefault="007E199D" w:rsidP="009F0C33">
            <w:pPr>
              <w:pStyle w:val="ListParagraph"/>
              <w:numPr>
                <w:ilvl w:val="0"/>
                <w:numId w:val="46"/>
              </w:numPr>
              <w:ind w:left="621"/>
              <w:rPr>
                <w:rFonts w:ascii="Arial" w:hAnsi="Arial" w:cs="Arial"/>
                <w:szCs w:val="24"/>
              </w:rPr>
            </w:pPr>
            <w:r w:rsidRPr="002B24D3">
              <w:rPr>
                <w:rFonts w:ascii="Arial" w:hAnsi="Arial" w:cs="Arial"/>
                <w:szCs w:val="24"/>
              </w:rPr>
              <w:t>SAR document contains accurate information.</w:t>
            </w:r>
          </w:p>
          <w:p w:rsidR="007E199D" w:rsidRPr="002B24D3" w:rsidRDefault="007E199D" w:rsidP="009F0C33">
            <w:pPr>
              <w:pStyle w:val="ListParagraph"/>
              <w:numPr>
                <w:ilvl w:val="0"/>
                <w:numId w:val="46"/>
              </w:numPr>
              <w:ind w:left="621"/>
              <w:rPr>
                <w:rFonts w:ascii="Arial" w:hAnsi="Arial" w:cs="Arial"/>
                <w:szCs w:val="24"/>
              </w:rPr>
            </w:pPr>
            <w:r w:rsidRPr="002B24D3">
              <w:rPr>
                <w:rFonts w:ascii="Arial" w:hAnsi="Arial" w:cs="Arial"/>
                <w:szCs w:val="24"/>
              </w:rPr>
              <w:t>SAR narratives are complete and explain clearly why the activity was considered suspicious.</w:t>
            </w:r>
          </w:p>
          <w:p w:rsidR="007E199D" w:rsidRDefault="007E199D" w:rsidP="009F0C33">
            <w:pPr>
              <w:pStyle w:val="ListParagraph"/>
              <w:numPr>
                <w:ilvl w:val="0"/>
                <w:numId w:val="46"/>
              </w:numPr>
              <w:ind w:left="621"/>
              <w:rPr>
                <w:rFonts w:ascii="Arial" w:hAnsi="Arial" w:cs="Arial"/>
                <w:szCs w:val="24"/>
              </w:rPr>
            </w:pPr>
            <w:r w:rsidRPr="002B24D3">
              <w:rPr>
                <w:rFonts w:ascii="Arial" w:hAnsi="Arial" w:cs="Arial"/>
                <w:szCs w:val="24"/>
              </w:rPr>
              <w:t>SAR was filed within 30 calendar days after the initial detection or 60 days according with regulation.</w:t>
            </w:r>
          </w:p>
          <w:p w:rsidR="007279F4" w:rsidRDefault="007279F4" w:rsidP="007279F4">
            <w:pPr>
              <w:pStyle w:val="ListParagraph"/>
              <w:ind w:left="0"/>
              <w:rPr>
                <w:rFonts w:ascii="Arial" w:hAnsi="Arial" w:cs="Arial"/>
                <w:szCs w:val="24"/>
              </w:rPr>
            </w:pPr>
          </w:p>
          <w:p w:rsidR="00C07A37" w:rsidRPr="002B24D3" w:rsidRDefault="00C07A37" w:rsidP="009F0C33">
            <w:pPr>
              <w:pStyle w:val="ListParagraph"/>
              <w:numPr>
                <w:ilvl w:val="0"/>
                <w:numId w:val="46"/>
              </w:numPr>
              <w:ind w:left="621"/>
              <w:rPr>
                <w:rFonts w:ascii="Arial" w:hAnsi="Arial" w:cs="Arial"/>
                <w:szCs w:val="24"/>
              </w:rPr>
            </w:pPr>
            <w:r>
              <w:rPr>
                <w:rFonts w:ascii="Arial" w:hAnsi="Arial" w:cs="Arial"/>
                <w:szCs w:val="24"/>
              </w:rPr>
              <w:t>Verify if continuing SARs were required and if so if the SAR was filed timely.</w:t>
            </w:r>
          </w:p>
          <w:p w:rsidR="007E199D" w:rsidRPr="002B24D3" w:rsidRDefault="007E199D" w:rsidP="009F0C33">
            <w:pPr>
              <w:pStyle w:val="ListParagraph"/>
              <w:ind w:left="774"/>
              <w:rPr>
                <w:rFonts w:ascii="Arial" w:hAnsi="Arial" w:cs="Arial"/>
                <w:szCs w:val="24"/>
              </w:rPr>
            </w:pPr>
          </w:p>
          <w:p w:rsidR="007E199D" w:rsidRPr="00CA6276" w:rsidRDefault="007E199D" w:rsidP="009F0C33">
            <w:pPr>
              <w:spacing w:after="0" w:line="240" w:lineRule="auto"/>
              <w:rPr>
                <w:rFonts w:ascii="Arial" w:hAnsi="Arial" w:cs="Arial"/>
                <w:sz w:val="24"/>
                <w:szCs w:val="24"/>
              </w:rPr>
            </w:pPr>
            <w:r w:rsidRPr="00CA6276">
              <w:rPr>
                <w:rFonts w:ascii="Arial" w:hAnsi="Arial" w:cs="Arial"/>
                <w:sz w:val="24"/>
                <w:szCs w:val="24"/>
              </w:rPr>
              <w:t>Select a sample of SARs that management decided not to file.  Review if decision was reasonable and supported.</w:t>
            </w:r>
          </w:p>
        </w:tc>
        <w:tc>
          <w:tcPr>
            <w:tcW w:w="389" w:type="dxa"/>
          </w:tcPr>
          <w:p w:rsidR="007E199D" w:rsidRPr="00CA6276" w:rsidRDefault="007E199D" w:rsidP="00C3748E">
            <w:pPr>
              <w:spacing w:after="0"/>
              <w:rPr>
                <w:rFonts w:ascii="Arial" w:hAnsi="Arial" w:cs="Arial"/>
                <w:sz w:val="24"/>
                <w:szCs w:val="24"/>
              </w:rPr>
            </w:pPr>
          </w:p>
        </w:tc>
        <w:tc>
          <w:tcPr>
            <w:tcW w:w="390" w:type="dxa"/>
          </w:tcPr>
          <w:p w:rsidR="007E199D" w:rsidRPr="00CA6276" w:rsidRDefault="007E199D" w:rsidP="00C3748E">
            <w:pPr>
              <w:spacing w:after="0"/>
              <w:rPr>
                <w:rFonts w:ascii="Arial" w:hAnsi="Arial" w:cs="Arial"/>
                <w:sz w:val="24"/>
                <w:szCs w:val="24"/>
              </w:rPr>
            </w:pPr>
          </w:p>
        </w:tc>
        <w:tc>
          <w:tcPr>
            <w:tcW w:w="4431" w:type="dxa"/>
          </w:tcPr>
          <w:p w:rsidR="007E199D" w:rsidRPr="00CA6276" w:rsidRDefault="007E199D" w:rsidP="00C3748E">
            <w:pPr>
              <w:spacing w:after="0"/>
              <w:rPr>
                <w:rFonts w:ascii="Arial" w:hAnsi="Arial" w:cs="Arial"/>
                <w:sz w:val="24"/>
                <w:szCs w:val="24"/>
              </w:rPr>
            </w:pPr>
          </w:p>
        </w:tc>
      </w:tr>
      <w:tr w:rsidR="007E199D" w:rsidRPr="00CA6276" w:rsidTr="00C3748E">
        <w:tc>
          <w:tcPr>
            <w:tcW w:w="9576" w:type="dxa"/>
            <w:gridSpan w:val="5"/>
            <w:shd w:val="clear" w:color="auto" w:fill="D9D9D9"/>
          </w:tcPr>
          <w:p w:rsidR="007E199D" w:rsidRPr="00CA6276" w:rsidRDefault="007E199D" w:rsidP="009F0C33">
            <w:pPr>
              <w:spacing w:after="0" w:line="240" w:lineRule="auto"/>
              <w:rPr>
                <w:rFonts w:ascii="Arial" w:hAnsi="Arial" w:cs="Arial"/>
                <w:b/>
                <w:sz w:val="24"/>
                <w:szCs w:val="24"/>
              </w:rPr>
            </w:pPr>
            <w:r w:rsidRPr="00CA6276">
              <w:rPr>
                <w:rFonts w:ascii="Arial" w:hAnsi="Arial" w:cs="Arial"/>
                <w:b/>
                <w:sz w:val="24"/>
                <w:szCs w:val="24"/>
              </w:rPr>
              <w:t>Form 8300 – Currency in Excess of $10,000 – 31 CFR 1029.330</w:t>
            </w:r>
          </w:p>
        </w:tc>
      </w:tr>
      <w:tr w:rsidR="007E199D" w:rsidRPr="00CA6276" w:rsidTr="00C3748E">
        <w:tc>
          <w:tcPr>
            <w:tcW w:w="639" w:type="dxa"/>
          </w:tcPr>
          <w:p w:rsidR="007E199D" w:rsidRPr="00CA6276" w:rsidRDefault="007E199D" w:rsidP="00C3748E">
            <w:pPr>
              <w:spacing w:after="0"/>
              <w:jc w:val="center"/>
              <w:rPr>
                <w:rFonts w:ascii="Arial" w:hAnsi="Arial" w:cs="Arial"/>
                <w:sz w:val="24"/>
                <w:szCs w:val="24"/>
              </w:rPr>
            </w:pPr>
            <w:r w:rsidRPr="00CA6276">
              <w:rPr>
                <w:rFonts w:ascii="Arial" w:hAnsi="Arial" w:cs="Arial"/>
                <w:sz w:val="24"/>
                <w:szCs w:val="24"/>
              </w:rPr>
              <w:t>3</w:t>
            </w:r>
          </w:p>
        </w:tc>
        <w:tc>
          <w:tcPr>
            <w:tcW w:w="3727" w:type="dxa"/>
          </w:tcPr>
          <w:p w:rsidR="007E199D" w:rsidRPr="00CA6276" w:rsidRDefault="007E199D" w:rsidP="009F0C33">
            <w:pPr>
              <w:widowControl w:val="0"/>
              <w:spacing w:after="0" w:line="240" w:lineRule="auto"/>
              <w:rPr>
                <w:rFonts w:ascii="Arial" w:hAnsi="Arial" w:cs="Arial"/>
                <w:sz w:val="24"/>
                <w:szCs w:val="24"/>
              </w:rPr>
            </w:pPr>
            <w:r w:rsidRPr="00CA6276">
              <w:rPr>
                <w:rFonts w:ascii="Arial" w:hAnsi="Arial" w:cs="Arial"/>
                <w:sz w:val="24"/>
                <w:szCs w:val="24"/>
              </w:rPr>
              <w:t>The examiner should examine the appropriate documents and accounting records to determine:</w:t>
            </w:r>
          </w:p>
          <w:p w:rsidR="007E199D" w:rsidRPr="002B24D3" w:rsidRDefault="007E199D" w:rsidP="009F0C33">
            <w:pPr>
              <w:pStyle w:val="ListParagraph"/>
              <w:numPr>
                <w:ilvl w:val="1"/>
                <w:numId w:val="54"/>
              </w:numPr>
              <w:ind w:left="621"/>
              <w:rPr>
                <w:rFonts w:ascii="Arial" w:hAnsi="Arial" w:cs="Arial"/>
                <w:szCs w:val="24"/>
              </w:rPr>
            </w:pPr>
            <w:r w:rsidRPr="002B24D3">
              <w:rPr>
                <w:rFonts w:ascii="Arial" w:hAnsi="Arial" w:cs="Arial"/>
                <w:szCs w:val="24"/>
              </w:rPr>
              <w:t xml:space="preserve">Transaction involving the </w:t>
            </w:r>
            <w:r w:rsidRPr="002B24D3">
              <w:rPr>
                <w:rFonts w:ascii="Arial" w:hAnsi="Arial" w:cs="Arial"/>
                <w:szCs w:val="24"/>
              </w:rPr>
              <w:lastRenderedPageBreak/>
              <w:t>receipt of reportable cash in excess of $10,000;</w:t>
            </w:r>
          </w:p>
          <w:p w:rsidR="007E199D" w:rsidRPr="002B24D3" w:rsidRDefault="007E199D" w:rsidP="009F0C33">
            <w:pPr>
              <w:pStyle w:val="ListParagraph"/>
              <w:ind w:left="621" w:firstLine="720"/>
              <w:rPr>
                <w:rFonts w:ascii="Arial" w:hAnsi="Arial" w:cs="Arial"/>
                <w:szCs w:val="24"/>
              </w:rPr>
            </w:pPr>
          </w:p>
          <w:p w:rsidR="007E199D" w:rsidRPr="002B24D3" w:rsidRDefault="007E199D" w:rsidP="009F0C33">
            <w:pPr>
              <w:pStyle w:val="ListParagraph"/>
              <w:numPr>
                <w:ilvl w:val="1"/>
                <w:numId w:val="54"/>
              </w:numPr>
              <w:ind w:left="621"/>
              <w:rPr>
                <w:rFonts w:ascii="Arial" w:hAnsi="Arial" w:cs="Arial"/>
                <w:szCs w:val="24"/>
              </w:rPr>
            </w:pPr>
            <w:r w:rsidRPr="002B24D3">
              <w:rPr>
                <w:rFonts w:ascii="Arial" w:hAnsi="Arial" w:cs="Arial"/>
                <w:szCs w:val="24"/>
              </w:rPr>
              <w:t>Consecutive or related reportable transactions in excess of $10,000;</w:t>
            </w:r>
          </w:p>
          <w:p w:rsidR="007E199D" w:rsidRPr="002B24D3" w:rsidRDefault="007E199D" w:rsidP="009F0C33">
            <w:pPr>
              <w:pStyle w:val="ListParagraph"/>
              <w:numPr>
                <w:ilvl w:val="1"/>
                <w:numId w:val="54"/>
              </w:numPr>
              <w:ind w:left="621"/>
              <w:rPr>
                <w:rFonts w:ascii="Arial" w:hAnsi="Arial" w:cs="Arial"/>
                <w:szCs w:val="24"/>
              </w:rPr>
            </w:pPr>
            <w:r w:rsidRPr="002B24D3">
              <w:rPr>
                <w:rFonts w:ascii="Arial" w:hAnsi="Arial" w:cs="Arial"/>
                <w:szCs w:val="24"/>
              </w:rPr>
              <w:t>Whether Form 8300 was filed on such transaction.</w:t>
            </w:r>
          </w:p>
        </w:tc>
        <w:tc>
          <w:tcPr>
            <w:tcW w:w="389" w:type="dxa"/>
          </w:tcPr>
          <w:p w:rsidR="007E199D" w:rsidRPr="00CA6276" w:rsidRDefault="007E199D" w:rsidP="00C3748E">
            <w:pPr>
              <w:spacing w:after="0"/>
              <w:rPr>
                <w:rFonts w:ascii="Arial" w:hAnsi="Arial" w:cs="Arial"/>
                <w:sz w:val="24"/>
                <w:szCs w:val="24"/>
              </w:rPr>
            </w:pPr>
          </w:p>
        </w:tc>
        <w:tc>
          <w:tcPr>
            <w:tcW w:w="390" w:type="dxa"/>
          </w:tcPr>
          <w:p w:rsidR="007E199D" w:rsidRPr="00CA6276" w:rsidRDefault="007E199D" w:rsidP="00C3748E">
            <w:pPr>
              <w:spacing w:after="0"/>
              <w:rPr>
                <w:rFonts w:ascii="Arial" w:hAnsi="Arial" w:cs="Arial"/>
                <w:sz w:val="24"/>
                <w:szCs w:val="24"/>
              </w:rPr>
            </w:pPr>
          </w:p>
        </w:tc>
        <w:tc>
          <w:tcPr>
            <w:tcW w:w="4431" w:type="dxa"/>
          </w:tcPr>
          <w:p w:rsidR="007E199D" w:rsidRPr="00CA6276" w:rsidRDefault="007E199D" w:rsidP="00C3748E">
            <w:pPr>
              <w:spacing w:after="0"/>
              <w:rPr>
                <w:rFonts w:ascii="Arial" w:hAnsi="Arial" w:cs="Arial"/>
                <w:sz w:val="24"/>
                <w:szCs w:val="24"/>
              </w:rPr>
            </w:pPr>
          </w:p>
        </w:tc>
      </w:tr>
      <w:tr w:rsidR="007E199D" w:rsidRPr="00CA6276" w:rsidTr="00C3748E">
        <w:tc>
          <w:tcPr>
            <w:tcW w:w="639" w:type="dxa"/>
          </w:tcPr>
          <w:p w:rsidR="007E199D" w:rsidRPr="00CA6276" w:rsidRDefault="007E199D" w:rsidP="00C3748E">
            <w:pPr>
              <w:spacing w:after="0"/>
              <w:jc w:val="center"/>
              <w:rPr>
                <w:rFonts w:ascii="Arial" w:hAnsi="Arial" w:cs="Arial"/>
                <w:sz w:val="24"/>
                <w:szCs w:val="24"/>
              </w:rPr>
            </w:pPr>
            <w:r w:rsidRPr="00CA6276">
              <w:rPr>
                <w:rFonts w:ascii="Arial" w:hAnsi="Arial" w:cs="Arial"/>
                <w:sz w:val="24"/>
                <w:szCs w:val="24"/>
              </w:rPr>
              <w:lastRenderedPageBreak/>
              <w:t>4</w:t>
            </w:r>
          </w:p>
        </w:tc>
        <w:tc>
          <w:tcPr>
            <w:tcW w:w="3727" w:type="dxa"/>
          </w:tcPr>
          <w:p w:rsidR="007E199D" w:rsidRPr="00CA6276" w:rsidRDefault="007E199D" w:rsidP="009F0C33">
            <w:pPr>
              <w:widowControl w:val="0"/>
              <w:spacing w:after="0" w:line="240" w:lineRule="auto"/>
              <w:rPr>
                <w:rFonts w:ascii="Arial" w:hAnsi="Arial" w:cs="Arial"/>
                <w:sz w:val="24"/>
                <w:szCs w:val="24"/>
              </w:rPr>
            </w:pPr>
            <w:r w:rsidRPr="00CA6276">
              <w:rPr>
                <w:rFonts w:ascii="Arial" w:hAnsi="Arial" w:cs="Arial"/>
                <w:sz w:val="24"/>
                <w:szCs w:val="24"/>
              </w:rPr>
              <w:t>The examiner should be alert to identifying transactions that may indicate attempts to avoid the reporting requirements, such as:</w:t>
            </w:r>
          </w:p>
          <w:p w:rsidR="007E199D" w:rsidRPr="002B24D3" w:rsidRDefault="007E199D" w:rsidP="009F0C33">
            <w:pPr>
              <w:pStyle w:val="ListParagraph"/>
              <w:numPr>
                <w:ilvl w:val="1"/>
                <w:numId w:val="54"/>
              </w:numPr>
              <w:ind w:left="621"/>
              <w:rPr>
                <w:rFonts w:ascii="Arial" w:hAnsi="Arial" w:cs="Arial"/>
                <w:szCs w:val="24"/>
              </w:rPr>
            </w:pPr>
            <w:r w:rsidRPr="002B24D3">
              <w:rPr>
                <w:rFonts w:ascii="Arial" w:hAnsi="Arial" w:cs="Arial"/>
                <w:szCs w:val="24"/>
              </w:rPr>
              <w:t>A single transaction structured as multiple transactions of less than $10,000;</w:t>
            </w:r>
          </w:p>
          <w:p w:rsidR="007E199D" w:rsidRPr="002B24D3" w:rsidRDefault="007E199D" w:rsidP="009F0C33">
            <w:pPr>
              <w:pStyle w:val="ListParagraph"/>
              <w:numPr>
                <w:ilvl w:val="1"/>
                <w:numId w:val="54"/>
              </w:numPr>
              <w:ind w:left="621"/>
              <w:rPr>
                <w:rFonts w:ascii="Arial" w:hAnsi="Arial" w:cs="Arial"/>
                <w:szCs w:val="24"/>
              </w:rPr>
            </w:pPr>
            <w:r w:rsidRPr="002B24D3">
              <w:rPr>
                <w:rFonts w:ascii="Arial" w:hAnsi="Arial" w:cs="Arial"/>
                <w:szCs w:val="24"/>
              </w:rPr>
              <w:t>Transactions in excess of $10,000 where cash and non-cash payments appears to be combined to avoid the filing requirements;</w:t>
            </w:r>
          </w:p>
          <w:p w:rsidR="007E199D" w:rsidRPr="009F0C33" w:rsidRDefault="007E199D" w:rsidP="009F0C33">
            <w:pPr>
              <w:pStyle w:val="ListParagraph"/>
              <w:numPr>
                <w:ilvl w:val="1"/>
                <w:numId w:val="54"/>
              </w:numPr>
              <w:ind w:left="621"/>
              <w:rPr>
                <w:rFonts w:ascii="Arial" w:hAnsi="Arial" w:cs="Arial"/>
                <w:szCs w:val="24"/>
              </w:rPr>
            </w:pPr>
            <w:r w:rsidRPr="002B24D3">
              <w:rPr>
                <w:rFonts w:ascii="Arial" w:hAnsi="Arial" w:cs="Arial"/>
                <w:szCs w:val="24"/>
              </w:rPr>
              <w:t xml:space="preserve">A pattern or series of transactions of less than $10,000 conducted over a relatively short period of time by or for the same person. </w:t>
            </w:r>
          </w:p>
        </w:tc>
        <w:tc>
          <w:tcPr>
            <w:tcW w:w="389" w:type="dxa"/>
          </w:tcPr>
          <w:p w:rsidR="007E199D" w:rsidRPr="00CA6276" w:rsidRDefault="007E199D" w:rsidP="00C3748E">
            <w:pPr>
              <w:spacing w:after="0"/>
              <w:rPr>
                <w:rFonts w:ascii="Arial" w:hAnsi="Arial" w:cs="Arial"/>
                <w:sz w:val="24"/>
                <w:szCs w:val="24"/>
              </w:rPr>
            </w:pPr>
          </w:p>
        </w:tc>
        <w:tc>
          <w:tcPr>
            <w:tcW w:w="390" w:type="dxa"/>
          </w:tcPr>
          <w:p w:rsidR="007E199D" w:rsidRPr="00CA6276" w:rsidRDefault="007E199D" w:rsidP="00C3748E">
            <w:pPr>
              <w:spacing w:after="0"/>
              <w:rPr>
                <w:rFonts w:ascii="Arial" w:hAnsi="Arial" w:cs="Arial"/>
                <w:sz w:val="24"/>
                <w:szCs w:val="24"/>
              </w:rPr>
            </w:pPr>
          </w:p>
        </w:tc>
        <w:tc>
          <w:tcPr>
            <w:tcW w:w="4431" w:type="dxa"/>
          </w:tcPr>
          <w:p w:rsidR="007E199D" w:rsidRPr="00CA6276" w:rsidRDefault="007E199D" w:rsidP="00C3748E">
            <w:pPr>
              <w:spacing w:after="0"/>
              <w:rPr>
                <w:rFonts w:ascii="Arial" w:hAnsi="Arial" w:cs="Arial"/>
                <w:sz w:val="24"/>
                <w:szCs w:val="24"/>
              </w:rPr>
            </w:pPr>
          </w:p>
        </w:tc>
      </w:tr>
      <w:tr w:rsidR="007E199D" w:rsidRPr="00CA6276" w:rsidTr="00C3748E">
        <w:tc>
          <w:tcPr>
            <w:tcW w:w="639" w:type="dxa"/>
          </w:tcPr>
          <w:p w:rsidR="007E199D" w:rsidRPr="00CA6276" w:rsidRDefault="007E199D" w:rsidP="00C3748E">
            <w:pPr>
              <w:spacing w:after="0"/>
              <w:jc w:val="center"/>
              <w:rPr>
                <w:rFonts w:ascii="Arial" w:hAnsi="Arial" w:cs="Arial"/>
                <w:sz w:val="24"/>
                <w:szCs w:val="24"/>
              </w:rPr>
            </w:pPr>
            <w:r w:rsidRPr="00CA6276">
              <w:rPr>
                <w:rFonts w:ascii="Arial" w:hAnsi="Arial" w:cs="Arial"/>
                <w:sz w:val="24"/>
                <w:szCs w:val="24"/>
              </w:rPr>
              <w:t>5</w:t>
            </w:r>
          </w:p>
        </w:tc>
        <w:tc>
          <w:tcPr>
            <w:tcW w:w="3727" w:type="dxa"/>
          </w:tcPr>
          <w:p w:rsidR="007E199D" w:rsidRPr="00CA6276" w:rsidRDefault="007E199D" w:rsidP="009F0C33">
            <w:pPr>
              <w:widowControl w:val="0"/>
              <w:spacing w:after="0" w:line="240" w:lineRule="auto"/>
              <w:rPr>
                <w:rFonts w:ascii="Arial" w:hAnsi="Arial" w:cs="Arial"/>
                <w:sz w:val="24"/>
                <w:szCs w:val="24"/>
              </w:rPr>
            </w:pPr>
            <w:r w:rsidRPr="00CA6276">
              <w:rPr>
                <w:rFonts w:ascii="Arial" w:hAnsi="Arial" w:cs="Arial"/>
                <w:sz w:val="24"/>
                <w:szCs w:val="24"/>
              </w:rPr>
              <w:t xml:space="preserve">If a computerized system is utilized, the examiner must perform testing to ensure its integrity before relying upon such records for the Form 8300 compliance review. </w:t>
            </w:r>
          </w:p>
        </w:tc>
        <w:tc>
          <w:tcPr>
            <w:tcW w:w="389" w:type="dxa"/>
          </w:tcPr>
          <w:p w:rsidR="007E199D" w:rsidRPr="00CA6276" w:rsidRDefault="007E199D" w:rsidP="00C3748E">
            <w:pPr>
              <w:spacing w:after="0"/>
              <w:rPr>
                <w:rFonts w:ascii="Arial" w:hAnsi="Arial" w:cs="Arial"/>
                <w:sz w:val="24"/>
                <w:szCs w:val="24"/>
              </w:rPr>
            </w:pPr>
          </w:p>
        </w:tc>
        <w:tc>
          <w:tcPr>
            <w:tcW w:w="390" w:type="dxa"/>
          </w:tcPr>
          <w:p w:rsidR="007E199D" w:rsidRPr="00CA6276" w:rsidRDefault="007E199D" w:rsidP="00C3748E">
            <w:pPr>
              <w:spacing w:after="0"/>
              <w:rPr>
                <w:rFonts w:ascii="Arial" w:hAnsi="Arial" w:cs="Arial"/>
                <w:sz w:val="24"/>
                <w:szCs w:val="24"/>
              </w:rPr>
            </w:pPr>
          </w:p>
        </w:tc>
        <w:tc>
          <w:tcPr>
            <w:tcW w:w="4431" w:type="dxa"/>
          </w:tcPr>
          <w:p w:rsidR="007E199D" w:rsidRPr="00CA6276" w:rsidRDefault="007E199D" w:rsidP="00C3748E">
            <w:pPr>
              <w:spacing w:after="0"/>
              <w:rPr>
                <w:rFonts w:ascii="Arial" w:hAnsi="Arial" w:cs="Arial"/>
                <w:sz w:val="24"/>
                <w:szCs w:val="24"/>
              </w:rPr>
            </w:pPr>
          </w:p>
        </w:tc>
      </w:tr>
      <w:tr w:rsidR="007E199D" w:rsidRPr="00CA6276" w:rsidTr="00C3748E">
        <w:tc>
          <w:tcPr>
            <w:tcW w:w="639" w:type="dxa"/>
          </w:tcPr>
          <w:p w:rsidR="007E199D" w:rsidRPr="00CA6276" w:rsidRDefault="007E199D" w:rsidP="00C3748E">
            <w:pPr>
              <w:spacing w:after="0"/>
              <w:jc w:val="center"/>
              <w:rPr>
                <w:rFonts w:ascii="Arial" w:hAnsi="Arial" w:cs="Arial"/>
                <w:sz w:val="24"/>
                <w:szCs w:val="24"/>
              </w:rPr>
            </w:pPr>
            <w:r w:rsidRPr="00CA6276">
              <w:rPr>
                <w:rFonts w:ascii="Arial" w:hAnsi="Arial" w:cs="Arial"/>
                <w:sz w:val="24"/>
                <w:szCs w:val="24"/>
              </w:rPr>
              <w:t>6</w:t>
            </w:r>
          </w:p>
        </w:tc>
        <w:tc>
          <w:tcPr>
            <w:tcW w:w="3727" w:type="dxa"/>
          </w:tcPr>
          <w:p w:rsidR="007E199D" w:rsidRPr="00CA6276" w:rsidRDefault="007E199D" w:rsidP="009F0C33">
            <w:pPr>
              <w:widowControl w:val="0"/>
              <w:spacing w:after="0" w:line="240" w:lineRule="auto"/>
              <w:rPr>
                <w:rFonts w:ascii="Arial" w:hAnsi="Arial" w:cs="Arial"/>
                <w:sz w:val="24"/>
                <w:szCs w:val="24"/>
              </w:rPr>
            </w:pPr>
            <w:r w:rsidRPr="00CA6276">
              <w:rPr>
                <w:rFonts w:ascii="Arial" w:hAnsi="Arial" w:cs="Arial"/>
                <w:sz w:val="24"/>
                <w:szCs w:val="24"/>
              </w:rPr>
              <w:t xml:space="preserve">Depending on the initial findings of the Form 8300 compliance review, the examiner may need to expand the scope and/or depth of the review to include additional periods. </w:t>
            </w:r>
          </w:p>
        </w:tc>
        <w:tc>
          <w:tcPr>
            <w:tcW w:w="389" w:type="dxa"/>
          </w:tcPr>
          <w:p w:rsidR="007E199D" w:rsidRPr="00CA6276" w:rsidRDefault="007E199D" w:rsidP="00C3748E">
            <w:pPr>
              <w:spacing w:after="0"/>
              <w:rPr>
                <w:rFonts w:ascii="Arial" w:hAnsi="Arial" w:cs="Arial"/>
                <w:sz w:val="24"/>
                <w:szCs w:val="24"/>
              </w:rPr>
            </w:pPr>
          </w:p>
        </w:tc>
        <w:tc>
          <w:tcPr>
            <w:tcW w:w="390" w:type="dxa"/>
          </w:tcPr>
          <w:p w:rsidR="007E199D" w:rsidRPr="00CA6276" w:rsidRDefault="007E199D" w:rsidP="00C3748E">
            <w:pPr>
              <w:spacing w:after="0"/>
              <w:rPr>
                <w:rFonts w:ascii="Arial" w:hAnsi="Arial" w:cs="Arial"/>
                <w:sz w:val="24"/>
                <w:szCs w:val="24"/>
              </w:rPr>
            </w:pPr>
          </w:p>
        </w:tc>
        <w:tc>
          <w:tcPr>
            <w:tcW w:w="4431" w:type="dxa"/>
          </w:tcPr>
          <w:p w:rsidR="007E199D" w:rsidRPr="00CA6276" w:rsidRDefault="007E199D" w:rsidP="00C3748E">
            <w:pPr>
              <w:spacing w:after="0"/>
              <w:rPr>
                <w:rFonts w:ascii="Arial" w:hAnsi="Arial" w:cs="Arial"/>
                <w:sz w:val="24"/>
                <w:szCs w:val="24"/>
              </w:rPr>
            </w:pPr>
          </w:p>
        </w:tc>
      </w:tr>
      <w:tr w:rsidR="007E199D" w:rsidRPr="00CA6276" w:rsidTr="00C3748E">
        <w:tc>
          <w:tcPr>
            <w:tcW w:w="639" w:type="dxa"/>
          </w:tcPr>
          <w:p w:rsidR="007E199D" w:rsidRPr="00CA6276" w:rsidRDefault="007E199D" w:rsidP="00C3748E">
            <w:pPr>
              <w:spacing w:after="0"/>
              <w:jc w:val="center"/>
              <w:rPr>
                <w:rFonts w:ascii="Arial" w:hAnsi="Arial" w:cs="Arial"/>
                <w:sz w:val="24"/>
                <w:szCs w:val="24"/>
              </w:rPr>
            </w:pPr>
            <w:r w:rsidRPr="00CA6276">
              <w:rPr>
                <w:rFonts w:ascii="Arial" w:hAnsi="Arial" w:cs="Arial"/>
                <w:sz w:val="24"/>
                <w:szCs w:val="24"/>
              </w:rPr>
              <w:t>7</w:t>
            </w:r>
          </w:p>
        </w:tc>
        <w:tc>
          <w:tcPr>
            <w:tcW w:w="3727" w:type="dxa"/>
          </w:tcPr>
          <w:p w:rsidR="007E199D" w:rsidRPr="00CA6276" w:rsidRDefault="007E199D" w:rsidP="009F0C33">
            <w:pPr>
              <w:spacing w:after="0" w:line="240" w:lineRule="auto"/>
              <w:rPr>
                <w:rFonts w:ascii="Arial" w:hAnsi="Arial" w:cs="Arial"/>
                <w:sz w:val="24"/>
                <w:szCs w:val="24"/>
              </w:rPr>
            </w:pPr>
            <w:r w:rsidRPr="00CA6276">
              <w:rPr>
                <w:rFonts w:ascii="Arial" w:hAnsi="Arial" w:cs="Arial"/>
                <w:sz w:val="24"/>
                <w:szCs w:val="24"/>
              </w:rPr>
              <w:t>Review procedures and select a sample from accounting records to determine cash handling and those transactions that are required to be filed on Form 8300.</w:t>
            </w:r>
          </w:p>
        </w:tc>
        <w:tc>
          <w:tcPr>
            <w:tcW w:w="389" w:type="dxa"/>
          </w:tcPr>
          <w:p w:rsidR="007E199D" w:rsidRPr="00CA6276" w:rsidRDefault="007E199D" w:rsidP="00C3748E">
            <w:pPr>
              <w:spacing w:after="0"/>
              <w:rPr>
                <w:rFonts w:ascii="Arial" w:hAnsi="Arial" w:cs="Arial"/>
                <w:sz w:val="24"/>
                <w:szCs w:val="24"/>
              </w:rPr>
            </w:pPr>
          </w:p>
        </w:tc>
        <w:tc>
          <w:tcPr>
            <w:tcW w:w="390" w:type="dxa"/>
          </w:tcPr>
          <w:p w:rsidR="007E199D" w:rsidRPr="00CA6276" w:rsidRDefault="007E199D" w:rsidP="00C3748E">
            <w:pPr>
              <w:spacing w:after="0"/>
              <w:rPr>
                <w:rFonts w:ascii="Arial" w:hAnsi="Arial" w:cs="Arial"/>
                <w:sz w:val="24"/>
                <w:szCs w:val="24"/>
              </w:rPr>
            </w:pPr>
          </w:p>
        </w:tc>
        <w:tc>
          <w:tcPr>
            <w:tcW w:w="4431" w:type="dxa"/>
          </w:tcPr>
          <w:p w:rsidR="007E199D" w:rsidRPr="00CA6276" w:rsidRDefault="007E199D" w:rsidP="00C3748E">
            <w:pPr>
              <w:spacing w:after="0"/>
              <w:rPr>
                <w:rFonts w:ascii="Arial" w:hAnsi="Arial" w:cs="Arial"/>
                <w:sz w:val="24"/>
                <w:szCs w:val="24"/>
              </w:rPr>
            </w:pPr>
          </w:p>
        </w:tc>
      </w:tr>
      <w:tr w:rsidR="007E199D" w:rsidRPr="00CA6276" w:rsidTr="00C3748E">
        <w:tc>
          <w:tcPr>
            <w:tcW w:w="9576" w:type="dxa"/>
            <w:gridSpan w:val="5"/>
            <w:shd w:val="clear" w:color="auto" w:fill="D9D9D9"/>
          </w:tcPr>
          <w:p w:rsidR="007E199D" w:rsidRPr="00CA6276" w:rsidRDefault="007E199D" w:rsidP="009F0C33">
            <w:pPr>
              <w:spacing w:after="0" w:line="240" w:lineRule="auto"/>
              <w:rPr>
                <w:rFonts w:ascii="Arial" w:hAnsi="Arial" w:cs="Arial"/>
                <w:b/>
                <w:sz w:val="24"/>
                <w:szCs w:val="24"/>
              </w:rPr>
            </w:pPr>
            <w:r w:rsidRPr="00CA6276">
              <w:rPr>
                <w:rFonts w:ascii="Arial" w:hAnsi="Arial" w:cs="Arial"/>
                <w:b/>
                <w:sz w:val="24"/>
                <w:szCs w:val="24"/>
              </w:rPr>
              <w:lastRenderedPageBreak/>
              <w:t>Foreign Bank and Financial Accounts Reporting (FBAR) (TD F90-223.1)</w:t>
            </w:r>
          </w:p>
        </w:tc>
      </w:tr>
      <w:tr w:rsidR="007E199D" w:rsidRPr="00CA6276" w:rsidTr="00C3748E">
        <w:tc>
          <w:tcPr>
            <w:tcW w:w="639" w:type="dxa"/>
          </w:tcPr>
          <w:p w:rsidR="007E199D" w:rsidRPr="00CA6276" w:rsidRDefault="007E199D" w:rsidP="00C3748E">
            <w:pPr>
              <w:spacing w:after="0"/>
              <w:jc w:val="center"/>
              <w:rPr>
                <w:rFonts w:ascii="Arial" w:hAnsi="Arial" w:cs="Arial"/>
                <w:sz w:val="24"/>
                <w:szCs w:val="24"/>
              </w:rPr>
            </w:pPr>
            <w:r w:rsidRPr="00CA6276">
              <w:rPr>
                <w:rFonts w:ascii="Arial" w:hAnsi="Arial" w:cs="Arial"/>
                <w:sz w:val="24"/>
                <w:szCs w:val="24"/>
              </w:rPr>
              <w:t>8</w:t>
            </w:r>
          </w:p>
        </w:tc>
        <w:tc>
          <w:tcPr>
            <w:tcW w:w="3727" w:type="dxa"/>
          </w:tcPr>
          <w:p w:rsidR="007E199D" w:rsidRPr="002B24D3" w:rsidRDefault="007E199D" w:rsidP="009F0C33">
            <w:pPr>
              <w:pStyle w:val="Default"/>
              <w:widowControl w:val="0"/>
              <w:contextualSpacing/>
              <w:rPr>
                <w:rFonts w:ascii="Arial" w:hAnsi="Arial" w:cs="Arial"/>
                <w:snapToGrid w:val="0"/>
              </w:rPr>
            </w:pPr>
            <w:r w:rsidRPr="002B24D3">
              <w:rPr>
                <w:rFonts w:ascii="Arial" w:hAnsi="Arial" w:cs="Arial"/>
              </w:rPr>
              <w:t xml:space="preserve">Determine whether the RMLO has a financial interest in, or signature authority over, bank, securities, or other financial accounts in a foreign country, or whether is otherwise required to file a Report of Foreign Bank and Financial Accounts (FBAR) (TD F 90-22.1) form. </w:t>
            </w:r>
          </w:p>
          <w:p w:rsidR="007E199D" w:rsidRPr="002B24D3" w:rsidRDefault="007E199D" w:rsidP="009F0C33">
            <w:pPr>
              <w:pStyle w:val="Default"/>
              <w:widowControl w:val="0"/>
              <w:ind w:left="621"/>
              <w:contextualSpacing/>
              <w:rPr>
                <w:rFonts w:ascii="Arial" w:hAnsi="Arial" w:cs="Arial"/>
                <w:snapToGrid w:val="0"/>
              </w:rPr>
            </w:pPr>
          </w:p>
          <w:p w:rsidR="007E199D" w:rsidRPr="002B24D3" w:rsidRDefault="007E199D" w:rsidP="009F0C33">
            <w:pPr>
              <w:pStyle w:val="Default"/>
              <w:widowControl w:val="0"/>
              <w:contextualSpacing/>
              <w:rPr>
                <w:rFonts w:ascii="Arial" w:hAnsi="Arial" w:cs="Arial"/>
                <w:snapToGrid w:val="0"/>
              </w:rPr>
            </w:pPr>
            <w:r w:rsidRPr="002B24D3">
              <w:rPr>
                <w:rFonts w:ascii="Arial" w:hAnsi="Arial" w:cs="Arial"/>
              </w:rPr>
              <w:t xml:space="preserve">If applicable, review the bank’s policies, procedures, and processes for filing annual reports. </w:t>
            </w:r>
          </w:p>
        </w:tc>
        <w:tc>
          <w:tcPr>
            <w:tcW w:w="389" w:type="dxa"/>
          </w:tcPr>
          <w:p w:rsidR="007E199D" w:rsidRPr="00CA6276" w:rsidRDefault="007E199D" w:rsidP="00C3748E">
            <w:pPr>
              <w:spacing w:after="0"/>
              <w:rPr>
                <w:rFonts w:ascii="Arial" w:hAnsi="Arial" w:cs="Arial"/>
                <w:sz w:val="24"/>
                <w:szCs w:val="24"/>
              </w:rPr>
            </w:pPr>
          </w:p>
        </w:tc>
        <w:tc>
          <w:tcPr>
            <w:tcW w:w="390" w:type="dxa"/>
          </w:tcPr>
          <w:p w:rsidR="007E199D" w:rsidRPr="00CA6276" w:rsidRDefault="007E199D" w:rsidP="00C3748E">
            <w:pPr>
              <w:spacing w:after="0"/>
              <w:rPr>
                <w:rFonts w:ascii="Arial" w:hAnsi="Arial" w:cs="Arial"/>
                <w:sz w:val="24"/>
                <w:szCs w:val="24"/>
              </w:rPr>
            </w:pPr>
          </w:p>
        </w:tc>
        <w:tc>
          <w:tcPr>
            <w:tcW w:w="4431" w:type="dxa"/>
          </w:tcPr>
          <w:p w:rsidR="007E199D" w:rsidRPr="00CA6276" w:rsidRDefault="007E199D" w:rsidP="00C3748E">
            <w:pPr>
              <w:spacing w:after="0"/>
              <w:rPr>
                <w:rFonts w:ascii="Arial" w:hAnsi="Arial" w:cs="Arial"/>
                <w:sz w:val="24"/>
                <w:szCs w:val="24"/>
              </w:rPr>
            </w:pPr>
          </w:p>
        </w:tc>
      </w:tr>
      <w:tr w:rsidR="007E199D" w:rsidRPr="00CA6276" w:rsidTr="00C3748E">
        <w:tc>
          <w:tcPr>
            <w:tcW w:w="639" w:type="dxa"/>
          </w:tcPr>
          <w:p w:rsidR="007E199D" w:rsidRPr="00CA6276" w:rsidRDefault="007E199D" w:rsidP="00C3748E">
            <w:pPr>
              <w:spacing w:after="0"/>
              <w:jc w:val="center"/>
              <w:rPr>
                <w:rFonts w:ascii="Arial" w:hAnsi="Arial" w:cs="Arial"/>
                <w:sz w:val="24"/>
                <w:szCs w:val="24"/>
              </w:rPr>
            </w:pPr>
            <w:r w:rsidRPr="00CA6276">
              <w:rPr>
                <w:rFonts w:ascii="Arial" w:hAnsi="Arial" w:cs="Arial"/>
                <w:sz w:val="24"/>
                <w:szCs w:val="24"/>
              </w:rPr>
              <w:t>9</w:t>
            </w:r>
          </w:p>
        </w:tc>
        <w:tc>
          <w:tcPr>
            <w:tcW w:w="3727" w:type="dxa"/>
          </w:tcPr>
          <w:p w:rsidR="007E199D" w:rsidRPr="00CA6276" w:rsidRDefault="007E199D" w:rsidP="009F0C33">
            <w:pPr>
              <w:spacing w:after="0" w:line="240" w:lineRule="auto"/>
              <w:rPr>
                <w:rFonts w:ascii="Arial" w:hAnsi="Arial" w:cs="Arial"/>
                <w:sz w:val="24"/>
                <w:szCs w:val="24"/>
                <w:u w:val="single"/>
              </w:rPr>
            </w:pPr>
            <w:r w:rsidRPr="00CA6276">
              <w:rPr>
                <w:rFonts w:ascii="Arial" w:hAnsi="Arial" w:cs="Arial"/>
                <w:sz w:val="24"/>
                <w:szCs w:val="24"/>
                <w:u w:val="single"/>
              </w:rPr>
              <w:t>Transaction Testing</w:t>
            </w:r>
          </w:p>
          <w:p w:rsidR="007E199D" w:rsidRPr="00CA6276" w:rsidRDefault="007E199D" w:rsidP="009F0C33">
            <w:pPr>
              <w:spacing w:after="0" w:line="240" w:lineRule="auto"/>
              <w:rPr>
                <w:rFonts w:ascii="Arial" w:hAnsi="Arial" w:cs="Arial"/>
                <w:sz w:val="24"/>
                <w:szCs w:val="24"/>
              </w:rPr>
            </w:pPr>
            <w:r w:rsidRPr="00CA6276">
              <w:rPr>
                <w:rFonts w:ascii="Arial" w:hAnsi="Arial" w:cs="Arial"/>
                <w:sz w:val="24"/>
                <w:szCs w:val="24"/>
              </w:rPr>
              <w:t>On the basis of a risk assessment, prior examination reports, and a review of the company’s examination findings, select a sample of accounts to determine whether the company has appropriately completed, submitted, and retained copies of the FBAR forms.</w:t>
            </w:r>
          </w:p>
        </w:tc>
        <w:tc>
          <w:tcPr>
            <w:tcW w:w="389" w:type="dxa"/>
          </w:tcPr>
          <w:p w:rsidR="007E199D" w:rsidRPr="00CA6276" w:rsidRDefault="007E199D" w:rsidP="00C3748E">
            <w:pPr>
              <w:spacing w:after="0"/>
              <w:rPr>
                <w:rFonts w:ascii="Arial" w:hAnsi="Arial" w:cs="Arial"/>
                <w:sz w:val="24"/>
                <w:szCs w:val="24"/>
              </w:rPr>
            </w:pPr>
          </w:p>
        </w:tc>
        <w:tc>
          <w:tcPr>
            <w:tcW w:w="390" w:type="dxa"/>
          </w:tcPr>
          <w:p w:rsidR="007E199D" w:rsidRPr="00CA6276" w:rsidRDefault="007E199D" w:rsidP="00C3748E">
            <w:pPr>
              <w:spacing w:after="0"/>
              <w:rPr>
                <w:rFonts w:ascii="Arial" w:hAnsi="Arial" w:cs="Arial"/>
                <w:sz w:val="24"/>
                <w:szCs w:val="24"/>
              </w:rPr>
            </w:pPr>
          </w:p>
        </w:tc>
        <w:tc>
          <w:tcPr>
            <w:tcW w:w="4431" w:type="dxa"/>
          </w:tcPr>
          <w:p w:rsidR="007E199D" w:rsidRPr="00CA6276" w:rsidRDefault="007E199D" w:rsidP="00C3748E">
            <w:pPr>
              <w:spacing w:after="0"/>
              <w:rPr>
                <w:rFonts w:ascii="Arial" w:hAnsi="Arial" w:cs="Arial"/>
                <w:sz w:val="24"/>
                <w:szCs w:val="24"/>
              </w:rPr>
            </w:pPr>
          </w:p>
        </w:tc>
      </w:tr>
      <w:tr w:rsidR="007E199D" w:rsidRPr="00CA6276" w:rsidTr="00C3748E">
        <w:tc>
          <w:tcPr>
            <w:tcW w:w="639" w:type="dxa"/>
          </w:tcPr>
          <w:p w:rsidR="007E199D" w:rsidRPr="00CA6276" w:rsidRDefault="007E199D" w:rsidP="00C3748E">
            <w:pPr>
              <w:spacing w:after="0"/>
              <w:jc w:val="center"/>
              <w:rPr>
                <w:rFonts w:ascii="Arial" w:hAnsi="Arial" w:cs="Arial"/>
                <w:sz w:val="24"/>
                <w:szCs w:val="24"/>
              </w:rPr>
            </w:pPr>
            <w:r w:rsidRPr="00CA6276">
              <w:rPr>
                <w:rFonts w:ascii="Arial" w:hAnsi="Arial" w:cs="Arial"/>
                <w:sz w:val="24"/>
                <w:szCs w:val="24"/>
              </w:rPr>
              <w:t>10</w:t>
            </w:r>
          </w:p>
        </w:tc>
        <w:tc>
          <w:tcPr>
            <w:tcW w:w="3727" w:type="dxa"/>
          </w:tcPr>
          <w:p w:rsidR="007E199D" w:rsidRPr="00CA6276" w:rsidRDefault="007E199D" w:rsidP="009F0C33">
            <w:pPr>
              <w:spacing w:after="0" w:line="240" w:lineRule="auto"/>
              <w:rPr>
                <w:rFonts w:ascii="Arial" w:hAnsi="Arial" w:cs="Arial"/>
                <w:sz w:val="24"/>
                <w:szCs w:val="24"/>
              </w:rPr>
            </w:pPr>
            <w:r w:rsidRPr="00CA6276">
              <w:rPr>
                <w:rFonts w:ascii="Arial" w:hAnsi="Arial" w:cs="Arial"/>
                <w:sz w:val="24"/>
                <w:szCs w:val="24"/>
              </w:rPr>
              <w:t>On the basis of examination procedures completed, including transaction testing, form a conclusion about the ability of policies, procedures, and processes to meet regulatory requirements associated with FBARs.</w:t>
            </w:r>
          </w:p>
        </w:tc>
        <w:tc>
          <w:tcPr>
            <w:tcW w:w="389" w:type="dxa"/>
          </w:tcPr>
          <w:p w:rsidR="007E199D" w:rsidRPr="00CA6276" w:rsidRDefault="007E199D" w:rsidP="00C3748E">
            <w:pPr>
              <w:spacing w:after="0"/>
              <w:rPr>
                <w:rFonts w:ascii="Arial" w:hAnsi="Arial" w:cs="Arial"/>
                <w:sz w:val="24"/>
                <w:szCs w:val="24"/>
              </w:rPr>
            </w:pPr>
          </w:p>
        </w:tc>
        <w:tc>
          <w:tcPr>
            <w:tcW w:w="390" w:type="dxa"/>
          </w:tcPr>
          <w:p w:rsidR="007E199D" w:rsidRPr="00CA6276" w:rsidRDefault="007E199D" w:rsidP="00C3748E">
            <w:pPr>
              <w:spacing w:after="0"/>
              <w:rPr>
                <w:rFonts w:ascii="Arial" w:hAnsi="Arial" w:cs="Arial"/>
                <w:sz w:val="24"/>
                <w:szCs w:val="24"/>
              </w:rPr>
            </w:pPr>
          </w:p>
        </w:tc>
        <w:tc>
          <w:tcPr>
            <w:tcW w:w="4431" w:type="dxa"/>
          </w:tcPr>
          <w:p w:rsidR="007E199D" w:rsidRPr="00CA6276" w:rsidRDefault="007E199D" w:rsidP="00C3748E">
            <w:pPr>
              <w:spacing w:after="0"/>
              <w:rPr>
                <w:rFonts w:ascii="Arial" w:hAnsi="Arial" w:cs="Arial"/>
                <w:sz w:val="24"/>
                <w:szCs w:val="24"/>
              </w:rPr>
            </w:pPr>
          </w:p>
        </w:tc>
      </w:tr>
      <w:tr w:rsidR="007E199D" w:rsidRPr="00CA6276" w:rsidTr="00C3748E">
        <w:tc>
          <w:tcPr>
            <w:tcW w:w="9576" w:type="dxa"/>
            <w:gridSpan w:val="5"/>
            <w:shd w:val="clear" w:color="auto" w:fill="D9D9D9"/>
          </w:tcPr>
          <w:p w:rsidR="007E199D" w:rsidRPr="00CA6276" w:rsidRDefault="007E199D" w:rsidP="009F0C33">
            <w:pPr>
              <w:spacing w:after="0" w:line="240" w:lineRule="auto"/>
              <w:rPr>
                <w:rFonts w:ascii="Arial" w:hAnsi="Arial" w:cs="Arial"/>
                <w:b/>
                <w:sz w:val="24"/>
                <w:szCs w:val="24"/>
              </w:rPr>
            </w:pPr>
            <w:r w:rsidRPr="00CA6276">
              <w:rPr>
                <w:rFonts w:ascii="Arial" w:hAnsi="Arial" w:cs="Arial"/>
                <w:b/>
                <w:sz w:val="24"/>
                <w:szCs w:val="24"/>
              </w:rPr>
              <w:t>International Transportation of Currency or Monetary Instruments Reporting</w:t>
            </w:r>
          </w:p>
        </w:tc>
      </w:tr>
      <w:tr w:rsidR="007E199D" w:rsidRPr="00CA6276" w:rsidTr="00C3748E">
        <w:tc>
          <w:tcPr>
            <w:tcW w:w="639" w:type="dxa"/>
          </w:tcPr>
          <w:p w:rsidR="007E199D" w:rsidRPr="00CA6276" w:rsidRDefault="007E199D" w:rsidP="00C3748E">
            <w:pPr>
              <w:spacing w:after="0"/>
              <w:jc w:val="center"/>
              <w:rPr>
                <w:rFonts w:ascii="Arial" w:hAnsi="Arial" w:cs="Arial"/>
                <w:sz w:val="24"/>
                <w:szCs w:val="24"/>
              </w:rPr>
            </w:pPr>
            <w:r w:rsidRPr="00CA6276">
              <w:rPr>
                <w:rFonts w:ascii="Arial" w:hAnsi="Arial" w:cs="Arial"/>
                <w:sz w:val="24"/>
                <w:szCs w:val="24"/>
              </w:rPr>
              <w:t>11</w:t>
            </w:r>
          </w:p>
        </w:tc>
        <w:tc>
          <w:tcPr>
            <w:tcW w:w="3727" w:type="dxa"/>
          </w:tcPr>
          <w:p w:rsidR="007E199D" w:rsidRPr="00CA6276" w:rsidRDefault="007E199D" w:rsidP="009F0C33">
            <w:pPr>
              <w:spacing w:after="0" w:line="240" w:lineRule="auto"/>
              <w:rPr>
                <w:rFonts w:ascii="Arial" w:hAnsi="Arial" w:cs="Arial"/>
                <w:sz w:val="24"/>
                <w:szCs w:val="24"/>
              </w:rPr>
            </w:pPr>
            <w:r w:rsidRPr="00CA6276">
              <w:rPr>
                <w:rFonts w:ascii="Arial" w:hAnsi="Arial" w:cs="Arial"/>
                <w:sz w:val="24"/>
                <w:szCs w:val="24"/>
              </w:rPr>
              <w:t xml:space="preserve">Determine whether the bank has (or has caused to be) physically transported, mailed, or shipped currency or other monetary instruments in excess of $10,000, at one time, out of the United States, or whether the RMLO has received currency or other monetary instruments in excess of $10,000, at one time, that has been physically transported, mailed, or shipped </w:t>
            </w:r>
            <w:r w:rsidRPr="00CA6276">
              <w:rPr>
                <w:rFonts w:ascii="Arial" w:hAnsi="Arial" w:cs="Arial"/>
                <w:sz w:val="24"/>
                <w:szCs w:val="24"/>
              </w:rPr>
              <w:lastRenderedPageBreak/>
              <w:t xml:space="preserve">into the United States. </w:t>
            </w:r>
          </w:p>
        </w:tc>
        <w:tc>
          <w:tcPr>
            <w:tcW w:w="389" w:type="dxa"/>
          </w:tcPr>
          <w:p w:rsidR="007E199D" w:rsidRPr="00CA6276" w:rsidRDefault="007E199D" w:rsidP="00C3748E">
            <w:pPr>
              <w:spacing w:after="0"/>
              <w:rPr>
                <w:rFonts w:ascii="Arial" w:hAnsi="Arial" w:cs="Arial"/>
                <w:sz w:val="24"/>
                <w:szCs w:val="24"/>
              </w:rPr>
            </w:pPr>
          </w:p>
        </w:tc>
        <w:tc>
          <w:tcPr>
            <w:tcW w:w="390" w:type="dxa"/>
          </w:tcPr>
          <w:p w:rsidR="007E199D" w:rsidRPr="00CA6276" w:rsidRDefault="007E199D" w:rsidP="00C3748E">
            <w:pPr>
              <w:spacing w:after="0"/>
              <w:rPr>
                <w:rFonts w:ascii="Arial" w:hAnsi="Arial" w:cs="Arial"/>
                <w:sz w:val="24"/>
                <w:szCs w:val="24"/>
              </w:rPr>
            </w:pPr>
          </w:p>
        </w:tc>
        <w:tc>
          <w:tcPr>
            <w:tcW w:w="4431" w:type="dxa"/>
          </w:tcPr>
          <w:p w:rsidR="007E199D" w:rsidRPr="00CA6276" w:rsidRDefault="007E199D" w:rsidP="00C3748E">
            <w:pPr>
              <w:spacing w:after="0"/>
              <w:rPr>
                <w:rFonts w:ascii="Arial" w:hAnsi="Arial" w:cs="Arial"/>
                <w:sz w:val="24"/>
                <w:szCs w:val="24"/>
              </w:rPr>
            </w:pPr>
          </w:p>
        </w:tc>
      </w:tr>
      <w:tr w:rsidR="007E199D" w:rsidRPr="00CA6276" w:rsidTr="00C3748E">
        <w:tc>
          <w:tcPr>
            <w:tcW w:w="639" w:type="dxa"/>
          </w:tcPr>
          <w:p w:rsidR="007E199D" w:rsidRPr="00CA6276" w:rsidRDefault="007E199D" w:rsidP="00C3748E">
            <w:pPr>
              <w:spacing w:after="0"/>
              <w:jc w:val="center"/>
              <w:rPr>
                <w:rFonts w:ascii="Arial" w:hAnsi="Arial" w:cs="Arial"/>
                <w:sz w:val="24"/>
                <w:szCs w:val="24"/>
              </w:rPr>
            </w:pPr>
            <w:r w:rsidRPr="00CA6276">
              <w:rPr>
                <w:rFonts w:ascii="Arial" w:hAnsi="Arial" w:cs="Arial"/>
                <w:sz w:val="24"/>
                <w:szCs w:val="24"/>
              </w:rPr>
              <w:lastRenderedPageBreak/>
              <w:t>12</w:t>
            </w:r>
          </w:p>
        </w:tc>
        <w:tc>
          <w:tcPr>
            <w:tcW w:w="3727" w:type="dxa"/>
          </w:tcPr>
          <w:p w:rsidR="007E199D" w:rsidRPr="00CA6276" w:rsidRDefault="007E199D" w:rsidP="009F0C33">
            <w:pPr>
              <w:spacing w:after="0" w:line="240" w:lineRule="auto"/>
              <w:rPr>
                <w:rFonts w:ascii="Arial" w:hAnsi="Arial" w:cs="Arial"/>
                <w:sz w:val="24"/>
                <w:szCs w:val="24"/>
              </w:rPr>
            </w:pPr>
            <w:r w:rsidRPr="00CA6276">
              <w:rPr>
                <w:rFonts w:ascii="Arial" w:hAnsi="Arial" w:cs="Arial"/>
                <w:sz w:val="24"/>
                <w:szCs w:val="24"/>
              </w:rPr>
              <w:t xml:space="preserve">If applicable, review the bank’s policies, procedures, and processes for filing a Report of International Transportation of Currency or Monetary Instruments (CMIR) (FinCEN Form 105) for each shipment of currency or other monetary instruments in excess of $10,000 out of or into the United States (except for shipments sent through the postal service, common carrier, or to which another exception from CMIR reporting applies). </w:t>
            </w:r>
          </w:p>
        </w:tc>
        <w:tc>
          <w:tcPr>
            <w:tcW w:w="389" w:type="dxa"/>
          </w:tcPr>
          <w:p w:rsidR="007E199D" w:rsidRPr="00CA6276" w:rsidRDefault="007E199D" w:rsidP="00C3748E">
            <w:pPr>
              <w:spacing w:after="0"/>
              <w:rPr>
                <w:rFonts w:ascii="Arial" w:hAnsi="Arial" w:cs="Arial"/>
                <w:sz w:val="24"/>
                <w:szCs w:val="24"/>
              </w:rPr>
            </w:pPr>
          </w:p>
        </w:tc>
        <w:tc>
          <w:tcPr>
            <w:tcW w:w="390" w:type="dxa"/>
          </w:tcPr>
          <w:p w:rsidR="007E199D" w:rsidRPr="00CA6276" w:rsidRDefault="007E199D" w:rsidP="00C3748E">
            <w:pPr>
              <w:spacing w:after="0"/>
              <w:rPr>
                <w:rFonts w:ascii="Arial" w:hAnsi="Arial" w:cs="Arial"/>
                <w:sz w:val="24"/>
                <w:szCs w:val="24"/>
              </w:rPr>
            </w:pPr>
          </w:p>
        </w:tc>
        <w:tc>
          <w:tcPr>
            <w:tcW w:w="4431" w:type="dxa"/>
          </w:tcPr>
          <w:p w:rsidR="007E199D" w:rsidRPr="00CA6276" w:rsidRDefault="007E199D" w:rsidP="00C3748E">
            <w:pPr>
              <w:spacing w:after="0"/>
              <w:rPr>
                <w:rFonts w:ascii="Arial" w:hAnsi="Arial" w:cs="Arial"/>
                <w:sz w:val="24"/>
                <w:szCs w:val="24"/>
              </w:rPr>
            </w:pPr>
          </w:p>
        </w:tc>
      </w:tr>
      <w:tr w:rsidR="007E199D" w:rsidRPr="00CA6276" w:rsidTr="00C3748E">
        <w:tc>
          <w:tcPr>
            <w:tcW w:w="639" w:type="dxa"/>
          </w:tcPr>
          <w:p w:rsidR="007E199D" w:rsidRPr="00CA6276" w:rsidRDefault="007E199D" w:rsidP="00C3748E">
            <w:pPr>
              <w:spacing w:after="0"/>
              <w:jc w:val="center"/>
              <w:rPr>
                <w:rFonts w:ascii="Arial" w:hAnsi="Arial" w:cs="Arial"/>
                <w:sz w:val="24"/>
                <w:szCs w:val="24"/>
              </w:rPr>
            </w:pPr>
            <w:r w:rsidRPr="00CA6276">
              <w:rPr>
                <w:rFonts w:ascii="Arial" w:hAnsi="Arial" w:cs="Arial"/>
                <w:sz w:val="24"/>
                <w:szCs w:val="24"/>
              </w:rPr>
              <w:t>13</w:t>
            </w:r>
          </w:p>
        </w:tc>
        <w:tc>
          <w:tcPr>
            <w:tcW w:w="3727" w:type="dxa"/>
          </w:tcPr>
          <w:p w:rsidR="007E199D" w:rsidRPr="00CA6276" w:rsidRDefault="007E199D" w:rsidP="009F0C33">
            <w:pPr>
              <w:spacing w:after="0" w:line="240" w:lineRule="auto"/>
              <w:rPr>
                <w:rFonts w:ascii="Arial" w:hAnsi="Arial" w:cs="Arial"/>
                <w:sz w:val="24"/>
                <w:szCs w:val="24"/>
                <w:u w:val="single"/>
              </w:rPr>
            </w:pPr>
            <w:r w:rsidRPr="00CA6276">
              <w:rPr>
                <w:rFonts w:ascii="Arial" w:hAnsi="Arial" w:cs="Arial"/>
                <w:sz w:val="24"/>
                <w:szCs w:val="24"/>
                <w:u w:val="single"/>
              </w:rPr>
              <w:t>Transaction Testing</w:t>
            </w:r>
          </w:p>
          <w:p w:rsidR="007E199D" w:rsidRPr="00CA6276" w:rsidRDefault="007E199D" w:rsidP="009F0C33">
            <w:pPr>
              <w:spacing w:after="0" w:line="240" w:lineRule="auto"/>
              <w:rPr>
                <w:rFonts w:ascii="Arial" w:hAnsi="Arial" w:cs="Arial"/>
                <w:sz w:val="24"/>
                <w:szCs w:val="24"/>
              </w:rPr>
            </w:pPr>
            <w:r w:rsidRPr="00CA6276">
              <w:rPr>
                <w:rFonts w:ascii="Arial" w:hAnsi="Arial" w:cs="Arial"/>
                <w:sz w:val="24"/>
                <w:szCs w:val="24"/>
              </w:rPr>
              <w:t xml:space="preserve">On the basis of a risk assessment, prior examination reports, and a review of the company’s audit findings, select a sample of transactions conducted after the previous examination to determine whether the company has appropriately completed, submitted, and retained copies of the CMIR forms. </w:t>
            </w:r>
          </w:p>
        </w:tc>
        <w:tc>
          <w:tcPr>
            <w:tcW w:w="389" w:type="dxa"/>
          </w:tcPr>
          <w:p w:rsidR="007E199D" w:rsidRPr="00CA6276" w:rsidRDefault="007E199D" w:rsidP="00C3748E">
            <w:pPr>
              <w:spacing w:after="0"/>
              <w:rPr>
                <w:rFonts w:ascii="Arial" w:hAnsi="Arial" w:cs="Arial"/>
                <w:sz w:val="24"/>
                <w:szCs w:val="24"/>
              </w:rPr>
            </w:pPr>
          </w:p>
        </w:tc>
        <w:tc>
          <w:tcPr>
            <w:tcW w:w="390" w:type="dxa"/>
          </w:tcPr>
          <w:p w:rsidR="007E199D" w:rsidRPr="00CA6276" w:rsidRDefault="007E199D" w:rsidP="00C3748E">
            <w:pPr>
              <w:spacing w:after="0"/>
              <w:rPr>
                <w:rFonts w:ascii="Arial" w:hAnsi="Arial" w:cs="Arial"/>
                <w:sz w:val="24"/>
                <w:szCs w:val="24"/>
              </w:rPr>
            </w:pPr>
          </w:p>
        </w:tc>
        <w:tc>
          <w:tcPr>
            <w:tcW w:w="4431" w:type="dxa"/>
          </w:tcPr>
          <w:p w:rsidR="007E199D" w:rsidRPr="00CA6276" w:rsidRDefault="007E199D" w:rsidP="00C3748E">
            <w:pPr>
              <w:spacing w:after="0"/>
              <w:rPr>
                <w:rFonts w:ascii="Arial" w:hAnsi="Arial" w:cs="Arial"/>
                <w:sz w:val="24"/>
                <w:szCs w:val="24"/>
              </w:rPr>
            </w:pPr>
          </w:p>
        </w:tc>
      </w:tr>
      <w:tr w:rsidR="007E199D" w:rsidRPr="00CA6276" w:rsidTr="00C3748E">
        <w:tc>
          <w:tcPr>
            <w:tcW w:w="639" w:type="dxa"/>
          </w:tcPr>
          <w:p w:rsidR="007E199D" w:rsidRPr="00CA6276" w:rsidRDefault="007E199D" w:rsidP="00C3748E">
            <w:pPr>
              <w:spacing w:after="0"/>
              <w:jc w:val="center"/>
              <w:rPr>
                <w:rFonts w:ascii="Arial" w:hAnsi="Arial" w:cs="Arial"/>
                <w:sz w:val="24"/>
                <w:szCs w:val="24"/>
              </w:rPr>
            </w:pPr>
            <w:r w:rsidRPr="00CA6276">
              <w:rPr>
                <w:rFonts w:ascii="Arial" w:hAnsi="Arial" w:cs="Arial"/>
                <w:sz w:val="24"/>
                <w:szCs w:val="24"/>
              </w:rPr>
              <w:t>14</w:t>
            </w:r>
          </w:p>
        </w:tc>
        <w:tc>
          <w:tcPr>
            <w:tcW w:w="3727" w:type="dxa"/>
          </w:tcPr>
          <w:p w:rsidR="007E199D" w:rsidRPr="00CA6276" w:rsidRDefault="007E199D" w:rsidP="009F0C33">
            <w:pPr>
              <w:spacing w:after="0" w:line="240" w:lineRule="auto"/>
              <w:rPr>
                <w:rFonts w:ascii="Arial" w:hAnsi="Arial" w:cs="Arial"/>
                <w:sz w:val="24"/>
                <w:szCs w:val="24"/>
              </w:rPr>
            </w:pPr>
            <w:r w:rsidRPr="00CA6276">
              <w:rPr>
                <w:rFonts w:ascii="Arial" w:hAnsi="Arial" w:cs="Arial"/>
                <w:sz w:val="24"/>
                <w:szCs w:val="24"/>
              </w:rPr>
              <w:t xml:space="preserve">On the basis of examination procedures completed, including transaction testing, form a conclusion about the ability of policies, procedures, and processes to meet regulatory requirements associated with CMIRs. </w:t>
            </w:r>
          </w:p>
        </w:tc>
        <w:tc>
          <w:tcPr>
            <w:tcW w:w="389" w:type="dxa"/>
          </w:tcPr>
          <w:p w:rsidR="007E199D" w:rsidRPr="00CA6276" w:rsidRDefault="007E199D" w:rsidP="00C3748E">
            <w:pPr>
              <w:spacing w:after="0"/>
              <w:rPr>
                <w:rFonts w:ascii="Arial" w:hAnsi="Arial" w:cs="Arial"/>
                <w:sz w:val="24"/>
                <w:szCs w:val="24"/>
              </w:rPr>
            </w:pPr>
          </w:p>
        </w:tc>
        <w:tc>
          <w:tcPr>
            <w:tcW w:w="390" w:type="dxa"/>
          </w:tcPr>
          <w:p w:rsidR="007E199D" w:rsidRPr="00CA6276" w:rsidRDefault="007E199D" w:rsidP="00C3748E">
            <w:pPr>
              <w:spacing w:after="0"/>
              <w:rPr>
                <w:rFonts w:ascii="Arial" w:hAnsi="Arial" w:cs="Arial"/>
                <w:sz w:val="24"/>
                <w:szCs w:val="24"/>
              </w:rPr>
            </w:pPr>
          </w:p>
        </w:tc>
        <w:tc>
          <w:tcPr>
            <w:tcW w:w="4431" w:type="dxa"/>
          </w:tcPr>
          <w:p w:rsidR="007E199D" w:rsidRPr="00CA6276" w:rsidRDefault="007E199D" w:rsidP="00C3748E">
            <w:pPr>
              <w:spacing w:after="0"/>
              <w:rPr>
                <w:rFonts w:ascii="Arial" w:hAnsi="Arial" w:cs="Arial"/>
                <w:sz w:val="24"/>
                <w:szCs w:val="24"/>
              </w:rPr>
            </w:pPr>
          </w:p>
        </w:tc>
      </w:tr>
      <w:tr w:rsidR="007E199D" w:rsidRPr="00CA6276" w:rsidTr="00C3748E">
        <w:tc>
          <w:tcPr>
            <w:tcW w:w="639" w:type="dxa"/>
          </w:tcPr>
          <w:p w:rsidR="007E199D" w:rsidRPr="00CA6276" w:rsidRDefault="007E199D" w:rsidP="00C3748E">
            <w:pPr>
              <w:spacing w:after="0"/>
              <w:jc w:val="center"/>
              <w:rPr>
                <w:rFonts w:ascii="Arial" w:hAnsi="Arial" w:cs="Arial"/>
                <w:sz w:val="24"/>
                <w:szCs w:val="24"/>
              </w:rPr>
            </w:pPr>
            <w:r w:rsidRPr="00CA6276">
              <w:rPr>
                <w:rFonts w:ascii="Arial" w:hAnsi="Arial" w:cs="Arial"/>
                <w:sz w:val="24"/>
                <w:szCs w:val="24"/>
              </w:rPr>
              <w:t>15</w:t>
            </w:r>
          </w:p>
        </w:tc>
        <w:tc>
          <w:tcPr>
            <w:tcW w:w="3727" w:type="dxa"/>
          </w:tcPr>
          <w:p w:rsidR="007E199D" w:rsidRPr="00CA6276" w:rsidRDefault="007E199D" w:rsidP="009F0C33">
            <w:pPr>
              <w:spacing w:after="0" w:line="240" w:lineRule="auto"/>
              <w:rPr>
                <w:rFonts w:ascii="Arial" w:hAnsi="Arial" w:cs="Arial"/>
                <w:sz w:val="24"/>
                <w:szCs w:val="24"/>
              </w:rPr>
            </w:pPr>
            <w:r w:rsidRPr="00CA6276">
              <w:rPr>
                <w:rFonts w:ascii="Arial" w:hAnsi="Arial" w:cs="Arial"/>
                <w:sz w:val="24"/>
                <w:szCs w:val="24"/>
              </w:rPr>
              <w:t>On the basis of the previous conclusion and the risks associated with the company’s activity in this area, proceed to expanded examination procedures, if necessary.</w:t>
            </w:r>
          </w:p>
        </w:tc>
        <w:tc>
          <w:tcPr>
            <w:tcW w:w="389" w:type="dxa"/>
          </w:tcPr>
          <w:p w:rsidR="007E199D" w:rsidRPr="00CA6276" w:rsidRDefault="007E199D" w:rsidP="00C3748E">
            <w:pPr>
              <w:spacing w:after="0"/>
              <w:rPr>
                <w:rFonts w:ascii="Arial" w:hAnsi="Arial" w:cs="Arial"/>
                <w:sz w:val="24"/>
                <w:szCs w:val="24"/>
              </w:rPr>
            </w:pPr>
          </w:p>
        </w:tc>
        <w:tc>
          <w:tcPr>
            <w:tcW w:w="390" w:type="dxa"/>
          </w:tcPr>
          <w:p w:rsidR="007E199D" w:rsidRPr="00CA6276" w:rsidRDefault="007E199D" w:rsidP="00C3748E">
            <w:pPr>
              <w:spacing w:after="0"/>
              <w:rPr>
                <w:rFonts w:ascii="Arial" w:hAnsi="Arial" w:cs="Arial"/>
                <w:sz w:val="24"/>
                <w:szCs w:val="24"/>
              </w:rPr>
            </w:pPr>
          </w:p>
        </w:tc>
        <w:tc>
          <w:tcPr>
            <w:tcW w:w="4431" w:type="dxa"/>
          </w:tcPr>
          <w:p w:rsidR="007E199D" w:rsidRPr="00CA6276" w:rsidRDefault="007E199D" w:rsidP="00C3748E">
            <w:pPr>
              <w:spacing w:after="0"/>
              <w:rPr>
                <w:rFonts w:ascii="Arial" w:hAnsi="Arial" w:cs="Arial"/>
                <w:sz w:val="24"/>
                <w:szCs w:val="24"/>
              </w:rPr>
            </w:pPr>
          </w:p>
        </w:tc>
      </w:tr>
      <w:tr w:rsidR="007E199D" w:rsidRPr="00CA6276" w:rsidTr="00C3748E">
        <w:tc>
          <w:tcPr>
            <w:tcW w:w="9576" w:type="dxa"/>
            <w:gridSpan w:val="5"/>
            <w:shd w:val="clear" w:color="auto" w:fill="D9D9D9"/>
          </w:tcPr>
          <w:p w:rsidR="007E199D" w:rsidRPr="00CA6276" w:rsidRDefault="007E199D" w:rsidP="009F0C33">
            <w:pPr>
              <w:spacing w:after="0" w:line="240" w:lineRule="auto"/>
              <w:rPr>
                <w:rFonts w:ascii="Arial" w:hAnsi="Arial" w:cs="Arial"/>
                <w:b/>
                <w:sz w:val="24"/>
                <w:szCs w:val="24"/>
              </w:rPr>
            </w:pPr>
            <w:r w:rsidRPr="00CA6276">
              <w:rPr>
                <w:rFonts w:ascii="Arial" w:hAnsi="Arial" w:cs="Arial"/>
                <w:b/>
                <w:sz w:val="24"/>
                <w:szCs w:val="24"/>
              </w:rPr>
              <w:t>Information Sharing Between Law Enforcement and Financial Institutions – Section 314(a) – 31 CFR 1029.520</w:t>
            </w:r>
          </w:p>
        </w:tc>
      </w:tr>
      <w:tr w:rsidR="007E199D" w:rsidRPr="00CA6276" w:rsidTr="00C3748E">
        <w:tc>
          <w:tcPr>
            <w:tcW w:w="639" w:type="dxa"/>
          </w:tcPr>
          <w:p w:rsidR="007E199D" w:rsidRPr="00CA6276" w:rsidRDefault="007E199D" w:rsidP="00C3748E">
            <w:pPr>
              <w:spacing w:after="0"/>
              <w:jc w:val="center"/>
              <w:rPr>
                <w:rFonts w:ascii="Arial" w:hAnsi="Arial" w:cs="Arial"/>
                <w:sz w:val="24"/>
                <w:szCs w:val="24"/>
              </w:rPr>
            </w:pPr>
            <w:r w:rsidRPr="00CA6276">
              <w:rPr>
                <w:rFonts w:ascii="Arial" w:hAnsi="Arial" w:cs="Arial"/>
                <w:sz w:val="24"/>
                <w:szCs w:val="24"/>
              </w:rPr>
              <w:t>16</w:t>
            </w:r>
          </w:p>
        </w:tc>
        <w:tc>
          <w:tcPr>
            <w:tcW w:w="3727" w:type="dxa"/>
          </w:tcPr>
          <w:p w:rsidR="007E199D" w:rsidRPr="002B24D3" w:rsidRDefault="007E199D" w:rsidP="009F0C33">
            <w:pPr>
              <w:pStyle w:val="Default"/>
              <w:rPr>
                <w:rFonts w:ascii="Arial" w:hAnsi="Arial" w:cs="Arial"/>
                <w:snapToGrid w:val="0"/>
              </w:rPr>
            </w:pPr>
            <w:r w:rsidRPr="002B24D3">
              <w:rPr>
                <w:rFonts w:ascii="Arial" w:hAnsi="Arial" w:cs="Arial"/>
              </w:rPr>
              <w:t xml:space="preserve">Verify that the company is currently receiving section </w:t>
            </w:r>
            <w:r w:rsidRPr="002B24D3">
              <w:rPr>
                <w:rFonts w:ascii="Arial" w:hAnsi="Arial" w:cs="Arial"/>
              </w:rPr>
              <w:lastRenderedPageBreak/>
              <w:t xml:space="preserve">314(a) requests from FinCEN or from an affiliated company that serves as the subject company’s point of contact. If the company is not receiving information requests or contact information changes, the company should update its contact information with its primary regulator, following the instructions at www.fincen.gov. </w:t>
            </w:r>
          </w:p>
        </w:tc>
        <w:tc>
          <w:tcPr>
            <w:tcW w:w="389" w:type="dxa"/>
          </w:tcPr>
          <w:p w:rsidR="007E199D" w:rsidRPr="00CA6276" w:rsidRDefault="007E199D" w:rsidP="00C3748E">
            <w:pPr>
              <w:spacing w:after="0"/>
              <w:rPr>
                <w:rFonts w:ascii="Arial" w:hAnsi="Arial" w:cs="Arial"/>
                <w:sz w:val="24"/>
                <w:szCs w:val="24"/>
              </w:rPr>
            </w:pPr>
          </w:p>
        </w:tc>
        <w:tc>
          <w:tcPr>
            <w:tcW w:w="390" w:type="dxa"/>
          </w:tcPr>
          <w:p w:rsidR="007E199D" w:rsidRPr="00CA6276" w:rsidRDefault="007E199D" w:rsidP="00C3748E">
            <w:pPr>
              <w:spacing w:after="0"/>
              <w:rPr>
                <w:rFonts w:ascii="Arial" w:hAnsi="Arial" w:cs="Arial"/>
                <w:sz w:val="24"/>
                <w:szCs w:val="24"/>
              </w:rPr>
            </w:pPr>
          </w:p>
        </w:tc>
        <w:tc>
          <w:tcPr>
            <w:tcW w:w="4431" w:type="dxa"/>
          </w:tcPr>
          <w:p w:rsidR="007E199D" w:rsidRPr="00CA6276" w:rsidRDefault="007E199D" w:rsidP="00C3748E">
            <w:pPr>
              <w:spacing w:after="0"/>
              <w:rPr>
                <w:rFonts w:ascii="Arial" w:hAnsi="Arial" w:cs="Arial"/>
                <w:sz w:val="24"/>
                <w:szCs w:val="24"/>
              </w:rPr>
            </w:pPr>
          </w:p>
        </w:tc>
      </w:tr>
      <w:tr w:rsidR="007E199D" w:rsidRPr="00CA6276" w:rsidTr="00C3748E">
        <w:tc>
          <w:tcPr>
            <w:tcW w:w="639" w:type="dxa"/>
          </w:tcPr>
          <w:p w:rsidR="007E199D" w:rsidRPr="00CA6276" w:rsidRDefault="007E199D" w:rsidP="00C3748E">
            <w:pPr>
              <w:spacing w:after="0"/>
              <w:jc w:val="center"/>
              <w:rPr>
                <w:rFonts w:ascii="Arial" w:hAnsi="Arial" w:cs="Arial"/>
                <w:sz w:val="24"/>
                <w:szCs w:val="24"/>
              </w:rPr>
            </w:pPr>
            <w:r w:rsidRPr="00CA6276">
              <w:rPr>
                <w:rFonts w:ascii="Arial" w:hAnsi="Arial" w:cs="Arial"/>
                <w:sz w:val="24"/>
                <w:szCs w:val="24"/>
              </w:rPr>
              <w:lastRenderedPageBreak/>
              <w:t>17</w:t>
            </w:r>
          </w:p>
        </w:tc>
        <w:tc>
          <w:tcPr>
            <w:tcW w:w="3727" w:type="dxa"/>
          </w:tcPr>
          <w:p w:rsidR="007E199D" w:rsidRPr="00CA6276" w:rsidRDefault="007E199D" w:rsidP="009F0C33">
            <w:pPr>
              <w:widowControl w:val="0"/>
              <w:spacing w:after="0" w:line="240" w:lineRule="auto"/>
              <w:rPr>
                <w:rFonts w:ascii="Arial" w:hAnsi="Arial" w:cs="Arial"/>
                <w:sz w:val="24"/>
                <w:szCs w:val="24"/>
              </w:rPr>
            </w:pPr>
            <w:r w:rsidRPr="00CA6276">
              <w:rPr>
                <w:rFonts w:ascii="Arial" w:hAnsi="Arial" w:cs="Arial"/>
                <w:sz w:val="24"/>
                <w:szCs w:val="24"/>
              </w:rPr>
              <w:t xml:space="preserve">Verify that the company has sufficient policies, procedures, and processes to document compliance; maintain sufficient internal controls; provide ongoing training; and independently test its compliance with 31 CFR § 1029.520, which implements section 314(a) of the Patriot Act. At a minimum, the procedures should accomplish the following: </w:t>
            </w:r>
          </w:p>
          <w:p w:rsidR="007E199D" w:rsidRPr="002B24D3" w:rsidRDefault="007E199D" w:rsidP="009F0C33">
            <w:pPr>
              <w:pStyle w:val="Default"/>
              <w:numPr>
                <w:ilvl w:val="3"/>
                <w:numId w:val="56"/>
              </w:numPr>
              <w:ind w:left="621" w:hanging="360"/>
              <w:rPr>
                <w:rFonts w:ascii="Arial" w:hAnsi="Arial" w:cs="Arial"/>
                <w:snapToGrid w:val="0"/>
              </w:rPr>
            </w:pPr>
            <w:r w:rsidRPr="002B24D3">
              <w:rPr>
                <w:rFonts w:ascii="Arial" w:hAnsi="Arial" w:cs="Arial"/>
              </w:rPr>
              <w:t>Designate a point of contact for receiving information requests.</w:t>
            </w:r>
          </w:p>
          <w:p w:rsidR="007E199D" w:rsidRPr="002B24D3" w:rsidRDefault="007E199D" w:rsidP="009F0C33">
            <w:pPr>
              <w:pStyle w:val="Default"/>
              <w:numPr>
                <w:ilvl w:val="3"/>
                <w:numId w:val="56"/>
              </w:numPr>
              <w:ind w:left="621" w:hanging="360"/>
              <w:rPr>
                <w:rFonts w:ascii="Arial" w:hAnsi="Arial" w:cs="Arial"/>
                <w:snapToGrid w:val="0"/>
              </w:rPr>
            </w:pPr>
            <w:r w:rsidRPr="002B24D3">
              <w:rPr>
                <w:rFonts w:ascii="Arial" w:hAnsi="Arial" w:cs="Arial"/>
              </w:rPr>
              <w:t xml:space="preserve">Ensure that the confidentiality of requested information is safeguarded. </w:t>
            </w:r>
          </w:p>
          <w:p w:rsidR="009F0C33" w:rsidRDefault="007E199D" w:rsidP="009F0C33">
            <w:pPr>
              <w:pStyle w:val="Default"/>
              <w:numPr>
                <w:ilvl w:val="3"/>
                <w:numId w:val="56"/>
              </w:numPr>
              <w:ind w:left="621" w:hanging="360"/>
              <w:rPr>
                <w:rFonts w:ascii="Arial" w:hAnsi="Arial" w:cs="Arial"/>
                <w:snapToGrid w:val="0"/>
              </w:rPr>
            </w:pPr>
            <w:r w:rsidRPr="002B24D3">
              <w:rPr>
                <w:rFonts w:ascii="Arial" w:hAnsi="Arial" w:cs="Arial"/>
              </w:rPr>
              <w:t xml:space="preserve">Establish a process for responding to FinCEN’s requests. </w:t>
            </w:r>
          </w:p>
          <w:p w:rsidR="007E199D" w:rsidRPr="009F0C33" w:rsidRDefault="007E199D" w:rsidP="009F0C33">
            <w:pPr>
              <w:pStyle w:val="Default"/>
              <w:numPr>
                <w:ilvl w:val="3"/>
                <w:numId w:val="56"/>
              </w:numPr>
              <w:ind w:left="621" w:hanging="360"/>
              <w:rPr>
                <w:rFonts w:ascii="Arial" w:hAnsi="Arial" w:cs="Arial"/>
                <w:snapToGrid w:val="0"/>
              </w:rPr>
            </w:pPr>
            <w:r w:rsidRPr="009F0C33">
              <w:rPr>
                <w:rFonts w:ascii="Arial" w:hAnsi="Arial" w:cs="Arial"/>
              </w:rPr>
              <w:t xml:space="preserve">Establish a process for determining if and when a SAR should be filed. </w:t>
            </w:r>
          </w:p>
        </w:tc>
        <w:tc>
          <w:tcPr>
            <w:tcW w:w="389" w:type="dxa"/>
          </w:tcPr>
          <w:p w:rsidR="007E199D" w:rsidRPr="00CA6276" w:rsidRDefault="007E199D" w:rsidP="00C3748E">
            <w:pPr>
              <w:spacing w:after="0"/>
              <w:rPr>
                <w:rFonts w:ascii="Arial" w:hAnsi="Arial" w:cs="Arial"/>
                <w:sz w:val="24"/>
                <w:szCs w:val="24"/>
              </w:rPr>
            </w:pPr>
          </w:p>
        </w:tc>
        <w:tc>
          <w:tcPr>
            <w:tcW w:w="390" w:type="dxa"/>
          </w:tcPr>
          <w:p w:rsidR="007E199D" w:rsidRPr="00CA6276" w:rsidRDefault="007E199D" w:rsidP="00C3748E">
            <w:pPr>
              <w:spacing w:after="0"/>
              <w:rPr>
                <w:rFonts w:ascii="Arial" w:hAnsi="Arial" w:cs="Arial"/>
                <w:sz w:val="24"/>
                <w:szCs w:val="24"/>
              </w:rPr>
            </w:pPr>
          </w:p>
        </w:tc>
        <w:tc>
          <w:tcPr>
            <w:tcW w:w="4431" w:type="dxa"/>
          </w:tcPr>
          <w:p w:rsidR="007E199D" w:rsidRPr="00CA6276" w:rsidRDefault="007E199D" w:rsidP="00C3748E">
            <w:pPr>
              <w:spacing w:after="0"/>
              <w:rPr>
                <w:rFonts w:ascii="Arial" w:hAnsi="Arial" w:cs="Arial"/>
                <w:sz w:val="24"/>
                <w:szCs w:val="24"/>
              </w:rPr>
            </w:pPr>
          </w:p>
        </w:tc>
      </w:tr>
      <w:tr w:rsidR="007E199D" w:rsidRPr="00CA6276" w:rsidTr="00C3748E">
        <w:tc>
          <w:tcPr>
            <w:tcW w:w="639" w:type="dxa"/>
          </w:tcPr>
          <w:p w:rsidR="007E199D" w:rsidRPr="00CA6276" w:rsidRDefault="007E199D" w:rsidP="00C3748E">
            <w:pPr>
              <w:spacing w:after="0"/>
              <w:jc w:val="center"/>
              <w:rPr>
                <w:rFonts w:ascii="Arial" w:hAnsi="Arial" w:cs="Arial"/>
                <w:sz w:val="24"/>
                <w:szCs w:val="24"/>
              </w:rPr>
            </w:pPr>
            <w:r w:rsidRPr="00CA6276">
              <w:rPr>
                <w:rFonts w:ascii="Arial" w:hAnsi="Arial" w:cs="Arial"/>
                <w:sz w:val="24"/>
                <w:szCs w:val="24"/>
              </w:rPr>
              <w:t>18</w:t>
            </w:r>
          </w:p>
        </w:tc>
        <w:tc>
          <w:tcPr>
            <w:tcW w:w="3727" w:type="dxa"/>
          </w:tcPr>
          <w:p w:rsidR="007E199D" w:rsidRPr="002B24D3" w:rsidRDefault="007E199D" w:rsidP="009F0C33">
            <w:pPr>
              <w:pStyle w:val="Default"/>
              <w:widowControl w:val="0"/>
              <w:rPr>
                <w:rFonts w:ascii="Arial" w:hAnsi="Arial" w:cs="Arial"/>
                <w:snapToGrid w:val="0"/>
              </w:rPr>
            </w:pPr>
            <w:r w:rsidRPr="002B24D3">
              <w:rPr>
                <w:rFonts w:ascii="Arial" w:hAnsi="Arial" w:cs="Arial"/>
              </w:rPr>
              <w:t xml:space="preserve">Determine whether the search policies, procedures, and processes the company uses to respond to section 314(a) requests are comprehensive and cover all records identified in the General Instructions for such requests. The General Instructions include searching accounts maintained by the </w:t>
            </w:r>
            <w:r w:rsidRPr="002B24D3">
              <w:rPr>
                <w:rFonts w:ascii="Arial" w:hAnsi="Arial" w:cs="Arial"/>
              </w:rPr>
              <w:lastRenderedPageBreak/>
              <w:t>named subject during the preceding 12 months and transactions conducted within the last six months. The company has</w:t>
            </w:r>
            <w:r w:rsidR="00B23EA2">
              <w:rPr>
                <w:rFonts w:ascii="Arial" w:hAnsi="Arial" w:cs="Arial"/>
              </w:rPr>
              <w:t xml:space="preserve"> </w:t>
            </w:r>
            <w:r w:rsidRPr="002B24D3">
              <w:rPr>
                <w:rFonts w:ascii="Arial" w:hAnsi="Arial" w:cs="Arial"/>
              </w:rPr>
              <w:t xml:space="preserve">14 days from the transmission date of the request to respond to a section 314(a) Subject Information Form. </w:t>
            </w:r>
          </w:p>
        </w:tc>
        <w:tc>
          <w:tcPr>
            <w:tcW w:w="389" w:type="dxa"/>
          </w:tcPr>
          <w:p w:rsidR="007E199D" w:rsidRPr="00CA6276" w:rsidRDefault="007E199D" w:rsidP="00C3748E">
            <w:pPr>
              <w:spacing w:after="0"/>
              <w:rPr>
                <w:rFonts w:ascii="Arial" w:hAnsi="Arial" w:cs="Arial"/>
                <w:sz w:val="24"/>
                <w:szCs w:val="24"/>
              </w:rPr>
            </w:pPr>
          </w:p>
        </w:tc>
        <w:tc>
          <w:tcPr>
            <w:tcW w:w="390" w:type="dxa"/>
          </w:tcPr>
          <w:p w:rsidR="007E199D" w:rsidRPr="00CA6276" w:rsidRDefault="007E199D" w:rsidP="00C3748E">
            <w:pPr>
              <w:spacing w:after="0"/>
              <w:rPr>
                <w:rFonts w:ascii="Arial" w:hAnsi="Arial" w:cs="Arial"/>
                <w:sz w:val="24"/>
                <w:szCs w:val="24"/>
              </w:rPr>
            </w:pPr>
          </w:p>
        </w:tc>
        <w:tc>
          <w:tcPr>
            <w:tcW w:w="4431" w:type="dxa"/>
          </w:tcPr>
          <w:p w:rsidR="007E199D" w:rsidRPr="00CA6276" w:rsidRDefault="007E199D" w:rsidP="00C3748E">
            <w:pPr>
              <w:spacing w:after="0"/>
              <w:rPr>
                <w:rFonts w:ascii="Arial" w:hAnsi="Arial" w:cs="Arial"/>
                <w:sz w:val="24"/>
                <w:szCs w:val="24"/>
              </w:rPr>
            </w:pPr>
          </w:p>
        </w:tc>
      </w:tr>
      <w:tr w:rsidR="007E199D" w:rsidRPr="00CA6276" w:rsidTr="00C3748E">
        <w:tc>
          <w:tcPr>
            <w:tcW w:w="639" w:type="dxa"/>
          </w:tcPr>
          <w:p w:rsidR="007E199D" w:rsidRPr="00CA6276" w:rsidRDefault="007E199D" w:rsidP="00C3748E">
            <w:pPr>
              <w:spacing w:after="0"/>
              <w:jc w:val="center"/>
              <w:rPr>
                <w:rFonts w:ascii="Arial" w:hAnsi="Arial" w:cs="Arial"/>
                <w:sz w:val="24"/>
                <w:szCs w:val="24"/>
              </w:rPr>
            </w:pPr>
            <w:r w:rsidRPr="00CA6276">
              <w:rPr>
                <w:rFonts w:ascii="Arial" w:hAnsi="Arial" w:cs="Arial"/>
                <w:sz w:val="24"/>
                <w:szCs w:val="24"/>
              </w:rPr>
              <w:lastRenderedPageBreak/>
              <w:t>19</w:t>
            </w:r>
          </w:p>
        </w:tc>
        <w:tc>
          <w:tcPr>
            <w:tcW w:w="3727" w:type="dxa"/>
          </w:tcPr>
          <w:p w:rsidR="007E199D" w:rsidRPr="002B24D3" w:rsidRDefault="007E199D" w:rsidP="009F0C33">
            <w:pPr>
              <w:pStyle w:val="Default"/>
              <w:rPr>
                <w:rFonts w:ascii="Arial" w:hAnsi="Arial" w:cs="Arial"/>
                <w:snapToGrid w:val="0"/>
              </w:rPr>
            </w:pPr>
            <w:r w:rsidRPr="002B24D3">
              <w:rPr>
                <w:rFonts w:ascii="Arial" w:hAnsi="Arial" w:cs="Arial"/>
              </w:rPr>
              <w:t xml:space="preserve">If the company uses a third-party vendor to perform or facilitate searches, determine whether an agreement or procedures are in place to ensure confidentiality. </w:t>
            </w:r>
          </w:p>
        </w:tc>
        <w:tc>
          <w:tcPr>
            <w:tcW w:w="389" w:type="dxa"/>
          </w:tcPr>
          <w:p w:rsidR="007E199D" w:rsidRPr="00CA6276" w:rsidRDefault="007E199D" w:rsidP="00C3748E">
            <w:pPr>
              <w:spacing w:after="0"/>
              <w:rPr>
                <w:rFonts w:ascii="Arial" w:hAnsi="Arial" w:cs="Arial"/>
                <w:sz w:val="24"/>
                <w:szCs w:val="24"/>
              </w:rPr>
            </w:pPr>
          </w:p>
        </w:tc>
        <w:tc>
          <w:tcPr>
            <w:tcW w:w="390" w:type="dxa"/>
          </w:tcPr>
          <w:p w:rsidR="007E199D" w:rsidRPr="00CA6276" w:rsidRDefault="007E199D" w:rsidP="00C3748E">
            <w:pPr>
              <w:spacing w:after="0"/>
              <w:rPr>
                <w:rFonts w:ascii="Arial" w:hAnsi="Arial" w:cs="Arial"/>
                <w:sz w:val="24"/>
                <w:szCs w:val="24"/>
              </w:rPr>
            </w:pPr>
          </w:p>
        </w:tc>
        <w:tc>
          <w:tcPr>
            <w:tcW w:w="4431" w:type="dxa"/>
          </w:tcPr>
          <w:p w:rsidR="007E199D" w:rsidRPr="00CA6276" w:rsidRDefault="007E199D" w:rsidP="00C3748E">
            <w:pPr>
              <w:spacing w:after="0"/>
              <w:rPr>
                <w:rFonts w:ascii="Arial" w:hAnsi="Arial" w:cs="Arial"/>
                <w:sz w:val="24"/>
                <w:szCs w:val="24"/>
              </w:rPr>
            </w:pPr>
          </w:p>
        </w:tc>
      </w:tr>
      <w:tr w:rsidR="007E199D" w:rsidRPr="00CA6276" w:rsidTr="00C3748E">
        <w:tc>
          <w:tcPr>
            <w:tcW w:w="639" w:type="dxa"/>
          </w:tcPr>
          <w:p w:rsidR="007E199D" w:rsidRPr="00CA6276" w:rsidRDefault="007E199D" w:rsidP="00C3748E">
            <w:pPr>
              <w:spacing w:after="0"/>
              <w:jc w:val="center"/>
              <w:rPr>
                <w:rFonts w:ascii="Arial" w:hAnsi="Arial" w:cs="Arial"/>
                <w:sz w:val="24"/>
                <w:szCs w:val="24"/>
              </w:rPr>
            </w:pPr>
            <w:r w:rsidRPr="00CA6276">
              <w:rPr>
                <w:rFonts w:ascii="Arial" w:hAnsi="Arial" w:cs="Arial"/>
                <w:sz w:val="24"/>
                <w:szCs w:val="24"/>
              </w:rPr>
              <w:t>20</w:t>
            </w:r>
          </w:p>
        </w:tc>
        <w:tc>
          <w:tcPr>
            <w:tcW w:w="3727" w:type="dxa"/>
          </w:tcPr>
          <w:p w:rsidR="007E199D" w:rsidRPr="002B24D3" w:rsidRDefault="007E199D" w:rsidP="009F0C33">
            <w:pPr>
              <w:pStyle w:val="Default"/>
              <w:rPr>
                <w:rFonts w:ascii="Arial" w:hAnsi="Arial" w:cs="Arial"/>
              </w:rPr>
            </w:pPr>
            <w:r w:rsidRPr="002B24D3">
              <w:rPr>
                <w:rFonts w:ascii="Arial" w:hAnsi="Arial" w:cs="Arial"/>
              </w:rPr>
              <w:t>Review the company’s internal controls and determine whether its documentation to evidence compliance with section 314(a) requests is adequate. This documentation could include, for example the following:</w:t>
            </w:r>
          </w:p>
          <w:p w:rsidR="007E199D" w:rsidRPr="002B24D3" w:rsidRDefault="007E199D" w:rsidP="009F0C33">
            <w:pPr>
              <w:pStyle w:val="Default"/>
              <w:numPr>
                <w:ilvl w:val="0"/>
                <w:numId w:val="57"/>
              </w:numPr>
              <w:ind w:left="621"/>
              <w:rPr>
                <w:rFonts w:ascii="Arial" w:hAnsi="Arial" w:cs="Arial"/>
              </w:rPr>
            </w:pPr>
            <w:r w:rsidRPr="002B24D3">
              <w:rPr>
                <w:rFonts w:ascii="Arial" w:hAnsi="Arial" w:cs="Arial"/>
              </w:rPr>
              <w:t>Copies of section 314(a) requests.</w:t>
            </w:r>
          </w:p>
          <w:p w:rsidR="007E199D" w:rsidRPr="002B24D3" w:rsidRDefault="007E199D" w:rsidP="009F0C33">
            <w:pPr>
              <w:pStyle w:val="Default"/>
              <w:numPr>
                <w:ilvl w:val="0"/>
                <w:numId w:val="57"/>
              </w:numPr>
              <w:ind w:left="621"/>
              <w:rPr>
                <w:rFonts w:ascii="Arial" w:hAnsi="Arial" w:cs="Arial"/>
              </w:rPr>
            </w:pPr>
            <w:r w:rsidRPr="002B24D3">
              <w:rPr>
                <w:rFonts w:ascii="Arial" w:hAnsi="Arial" w:cs="Arial"/>
              </w:rPr>
              <w:t>A log that records the tracking numbers and includes a sign-off column.</w:t>
            </w:r>
          </w:p>
          <w:p w:rsidR="007E199D" w:rsidRPr="002B24D3" w:rsidRDefault="007E199D" w:rsidP="009F0C33">
            <w:pPr>
              <w:pStyle w:val="Default"/>
              <w:numPr>
                <w:ilvl w:val="0"/>
                <w:numId w:val="57"/>
              </w:numPr>
              <w:ind w:left="621"/>
              <w:rPr>
                <w:rFonts w:ascii="Arial" w:hAnsi="Arial" w:cs="Arial"/>
              </w:rPr>
            </w:pPr>
            <w:r w:rsidRPr="002B24D3">
              <w:rPr>
                <w:rFonts w:ascii="Arial" w:hAnsi="Arial" w:cs="Arial"/>
              </w:rPr>
              <w:t>Copies of the cover page of the requests, with a financial institution sign-off, that the records were checked, the date of the search, and search results (e.g., positive or negative).</w:t>
            </w:r>
          </w:p>
          <w:p w:rsidR="007E199D" w:rsidRPr="002B24D3" w:rsidRDefault="007E199D" w:rsidP="009F0C33">
            <w:pPr>
              <w:pStyle w:val="Default"/>
              <w:rPr>
                <w:rFonts w:ascii="Arial" w:hAnsi="Arial" w:cs="Arial"/>
              </w:rPr>
            </w:pPr>
          </w:p>
          <w:p w:rsidR="007E199D" w:rsidRPr="002B24D3" w:rsidRDefault="007E199D" w:rsidP="009F0C33">
            <w:pPr>
              <w:pStyle w:val="Default"/>
              <w:rPr>
                <w:rFonts w:ascii="Arial" w:hAnsi="Arial" w:cs="Arial"/>
              </w:rPr>
            </w:pPr>
            <w:r w:rsidRPr="002B24D3">
              <w:rPr>
                <w:rFonts w:ascii="Arial" w:hAnsi="Arial" w:cs="Arial"/>
              </w:rPr>
              <w:t>For positive matches, copies of the form returned to FinCEN and the supporting documentation should be retained.</w:t>
            </w:r>
          </w:p>
        </w:tc>
        <w:tc>
          <w:tcPr>
            <w:tcW w:w="389" w:type="dxa"/>
          </w:tcPr>
          <w:p w:rsidR="007E199D" w:rsidRPr="00CA6276" w:rsidRDefault="007E199D" w:rsidP="00C3748E">
            <w:pPr>
              <w:spacing w:after="0"/>
              <w:rPr>
                <w:rFonts w:ascii="Arial" w:hAnsi="Arial" w:cs="Arial"/>
                <w:sz w:val="24"/>
                <w:szCs w:val="24"/>
              </w:rPr>
            </w:pPr>
          </w:p>
        </w:tc>
        <w:tc>
          <w:tcPr>
            <w:tcW w:w="390" w:type="dxa"/>
          </w:tcPr>
          <w:p w:rsidR="007E199D" w:rsidRPr="00CA6276" w:rsidRDefault="007E199D" w:rsidP="00C3748E">
            <w:pPr>
              <w:spacing w:after="0"/>
              <w:rPr>
                <w:rFonts w:ascii="Arial" w:hAnsi="Arial" w:cs="Arial"/>
                <w:sz w:val="24"/>
                <w:szCs w:val="24"/>
              </w:rPr>
            </w:pPr>
          </w:p>
        </w:tc>
        <w:tc>
          <w:tcPr>
            <w:tcW w:w="4431" w:type="dxa"/>
          </w:tcPr>
          <w:p w:rsidR="007E199D" w:rsidRPr="00CA6276" w:rsidRDefault="007E199D" w:rsidP="00C3748E">
            <w:pPr>
              <w:spacing w:after="0"/>
              <w:rPr>
                <w:rFonts w:ascii="Arial" w:hAnsi="Arial" w:cs="Arial"/>
                <w:sz w:val="24"/>
                <w:szCs w:val="24"/>
              </w:rPr>
            </w:pPr>
          </w:p>
        </w:tc>
      </w:tr>
      <w:tr w:rsidR="007E199D" w:rsidRPr="00CA6276" w:rsidTr="00C3748E">
        <w:tc>
          <w:tcPr>
            <w:tcW w:w="9576" w:type="dxa"/>
            <w:gridSpan w:val="5"/>
            <w:shd w:val="clear" w:color="auto" w:fill="D9D9D9"/>
          </w:tcPr>
          <w:p w:rsidR="007E199D" w:rsidRPr="00CA6276" w:rsidRDefault="007E199D" w:rsidP="009F0C33">
            <w:pPr>
              <w:spacing w:after="0" w:line="240" w:lineRule="auto"/>
              <w:rPr>
                <w:rFonts w:ascii="Arial" w:hAnsi="Arial" w:cs="Arial"/>
                <w:b/>
                <w:sz w:val="24"/>
                <w:szCs w:val="24"/>
              </w:rPr>
            </w:pPr>
            <w:r w:rsidRPr="00CA6276">
              <w:rPr>
                <w:rFonts w:ascii="Arial" w:hAnsi="Arial" w:cs="Arial"/>
                <w:b/>
                <w:sz w:val="24"/>
                <w:szCs w:val="24"/>
              </w:rPr>
              <w:t>Voluntary Information Sharing – Section 314(B) – 31 CFR 1029.540</w:t>
            </w:r>
          </w:p>
        </w:tc>
      </w:tr>
      <w:tr w:rsidR="007E199D" w:rsidRPr="00CA6276" w:rsidTr="00C3748E">
        <w:tc>
          <w:tcPr>
            <w:tcW w:w="639" w:type="dxa"/>
          </w:tcPr>
          <w:p w:rsidR="007E199D" w:rsidRPr="00CA6276" w:rsidRDefault="007E199D" w:rsidP="00C3748E">
            <w:pPr>
              <w:spacing w:after="0"/>
              <w:jc w:val="center"/>
              <w:rPr>
                <w:rFonts w:ascii="Arial" w:hAnsi="Arial" w:cs="Arial"/>
                <w:sz w:val="24"/>
                <w:szCs w:val="24"/>
              </w:rPr>
            </w:pPr>
            <w:r w:rsidRPr="00CA6276">
              <w:rPr>
                <w:rFonts w:ascii="Arial" w:hAnsi="Arial" w:cs="Arial"/>
                <w:sz w:val="24"/>
                <w:szCs w:val="24"/>
              </w:rPr>
              <w:t>21</w:t>
            </w:r>
          </w:p>
        </w:tc>
        <w:tc>
          <w:tcPr>
            <w:tcW w:w="3727" w:type="dxa"/>
          </w:tcPr>
          <w:p w:rsidR="007E199D" w:rsidRPr="00CA6276" w:rsidRDefault="007E199D" w:rsidP="009F0C33">
            <w:pPr>
              <w:widowControl w:val="0"/>
              <w:spacing w:after="0" w:line="240" w:lineRule="auto"/>
              <w:rPr>
                <w:rFonts w:ascii="Arial" w:hAnsi="Arial" w:cs="Arial"/>
                <w:sz w:val="24"/>
                <w:szCs w:val="24"/>
              </w:rPr>
            </w:pPr>
            <w:r w:rsidRPr="00CA6276">
              <w:rPr>
                <w:rFonts w:ascii="Arial" w:hAnsi="Arial" w:cs="Arial"/>
                <w:sz w:val="24"/>
                <w:szCs w:val="24"/>
              </w:rPr>
              <w:t xml:space="preserve">Determine whether the company has decided to share information voluntarily. If so, verify that the RMLO has filed a notification form with FinCEN and provides an effective date for the sharing of information that is within the previous 12 months. </w:t>
            </w:r>
          </w:p>
        </w:tc>
        <w:tc>
          <w:tcPr>
            <w:tcW w:w="389" w:type="dxa"/>
          </w:tcPr>
          <w:p w:rsidR="007E199D" w:rsidRPr="00CA6276" w:rsidRDefault="007E199D" w:rsidP="00C3748E">
            <w:pPr>
              <w:spacing w:after="0"/>
              <w:rPr>
                <w:rFonts w:ascii="Arial" w:hAnsi="Arial" w:cs="Arial"/>
                <w:sz w:val="24"/>
                <w:szCs w:val="24"/>
              </w:rPr>
            </w:pPr>
          </w:p>
        </w:tc>
        <w:tc>
          <w:tcPr>
            <w:tcW w:w="390" w:type="dxa"/>
          </w:tcPr>
          <w:p w:rsidR="007E199D" w:rsidRPr="00CA6276" w:rsidRDefault="007E199D" w:rsidP="00C3748E">
            <w:pPr>
              <w:spacing w:after="0"/>
              <w:rPr>
                <w:rFonts w:ascii="Arial" w:hAnsi="Arial" w:cs="Arial"/>
                <w:sz w:val="24"/>
                <w:szCs w:val="24"/>
              </w:rPr>
            </w:pPr>
          </w:p>
        </w:tc>
        <w:tc>
          <w:tcPr>
            <w:tcW w:w="4431" w:type="dxa"/>
          </w:tcPr>
          <w:p w:rsidR="007E199D" w:rsidRPr="00CA6276" w:rsidRDefault="007E199D" w:rsidP="00C3748E">
            <w:pPr>
              <w:spacing w:after="0"/>
              <w:rPr>
                <w:rFonts w:ascii="Arial" w:hAnsi="Arial" w:cs="Arial"/>
                <w:sz w:val="24"/>
                <w:szCs w:val="24"/>
              </w:rPr>
            </w:pPr>
          </w:p>
        </w:tc>
      </w:tr>
      <w:tr w:rsidR="007E199D" w:rsidRPr="00CA6276" w:rsidTr="00C3748E">
        <w:tc>
          <w:tcPr>
            <w:tcW w:w="639" w:type="dxa"/>
          </w:tcPr>
          <w:p w:rsidR="007E199D" w:rsidRPr="00CA6276" w:rsidRDefault="007E199D" w:rsidP="00C3748E">
            <w:pPr>
              <w:spacing w:after="0"/>
              <w:jc w:val="center"/>
              <w:rPr>
                <w:rFonts w:ascii="Arial" w:hAnsi="Arial" w:cs="Arial"/>
                <w:sz w:val="24"/>
                <w:szCs w:val="24"/>
              </w:rPr>
            </w:pPr>
            <w:r w:rsidRPr="00CA6276">
              <w:rPr>
                <w:rFonts w:ascii="Arial" w:hAnsi="Arial" w:cs="Arial"/>
                <w:sz w:val="24"/>
                <w:szCs w:val="24"/>
              </w:rPr>
              <w:lastRenderedPageBreak/>
              <w:t>22</w:t>
            </w:r>
          </w:p>
        </w:tc>
        <w:tc>
          <w:tcPr>
            <w:tcW w:w="3727" w:type="dxa"/>
          </w:tcPr>
          <w:p w:rsidR="007E199D" w:rsidRPr="00CA6276" w:rsidRDefault="007E199D" w:rsidP="009F0C33">
            <w:pPr>
              <w:widowControl w:val="0"/>
              <w:spacing w:after="0" w:line="240" w:lineRule="auto"/>
              <w:rPr>
                <w:rFonts w:ascii="Arial" w:hAnsi="Arial" w:cs="Arial"/>
                <w:sz w:val="24"/>
                <w:szCs w:val="24"/>
              </w:rPr>
            </w:pPr>
            <w:r w:rsidRPr="00CA6276">
              <w:rPr>
                <w:rFonts w:ascii="Arial" w:hAnsi="Arial" w:cs="Arial"/>
                <w:sz w:val="24"/>
                <w:szCs w:val="24"/>
              </w:rPr>
              <w:t xml:space="preserve">Verify that the company has policies, procedures, and processes for sharing information and receiving shared information, as specified under 31 CFR 1029.540, which implements section 314(b) of the Patriot Act. </w:t>
            </w:r>
          </w:p>
        </w:tc>
        <w:tc>
          <w:tcPr>
            <w:tcW w:w="389" w:type="dxa"/>
          </w:tcPr>
          <w:p w:rsidR="007E199D" w:rsidRPr="00CA6276" w:rsidRDefault="007E199D" w:rsidP="00C3748E">
            <w:pPr>
              <w:spacing w:after="0"/>
              <w:rPr>
                <w:rFonts w:ascii="Arial" w:hAnsi="Arial" w:cs="Arial"/>
                <w:sz w:val="24"/>
                <w:szCs w:val="24"/>
              </w:rPr>
            </w:pPr>
          </w:p>
        </w:tc>
        <w:tc>
          <w:tcPr>
            <w:tcW w:w="390" w:type="dxa"/>
          </w:tcPr>
          <w:p w:rsidR="007E199D" w:rsidRPr="00CA6276" w:rsidRDefault="007E199D" w:rsidP="00C3748E">
            <w:pPr>
              <w:spacing w:after="0"/>
              <w:rPr>
                <w:rFonts w:ascii="Arial" w:hAnsi="Arial" w:cs="Arial"/>
                <w:sz w:val="24"/>
                <w:szCs w:val="24"/>
              </w:rPr>
            </w:pPr>
          </w:p>
        </w:tc>
        <w:tc>
          <w:tcPr>
            <w:tcW w:w="4431" w:type="dxa"/>
          </w:tcPr>
          <w:p w:rsidR="007E199D" w:rsidRPr="00CA6276" w:rsidRDefault="007E199D" w:rsidP="00C3748E">
            <w:pPr>
              <w:spacing w:after="0"/>
              <w:rPr>
                <w:rFonts w:ascii="Arial" w:hAnsi="Arial" w:cs="Arial"/>
                <w:sz w:val="24"/>
                <w:szCs w:val="24"/>
              </w:rPr>
            </w:pPr>
          </w:p>
        </w:tc>
      </w:tr>
      <w:tr w:rsidR="007E199D" w:rsidRPr="00CA6276" w:rsidTr="00C3748E">
        <w:tc>
          <w:tcPr>
            <w:tcW w:w="639" w:type="dxa"/>
          </w:tcPr>
          <w:p w:rsidR="007E199D" w:rsidRPr="00CA6276" w:rsidRDefault="007E199D" w:rsidP="00C3748E">
            <w:pPr>
              <w:spacing w:after="0"/>
              <w:jc w:val="center"/>
              <w:rPr>
                <w:rFonts w:ascii="Arial" w:hAnsi="Arial" w:cs="Arial"/>
                <w:sz w:val="24"/>
                <w:szCs w:val="24"/>
              </w:rPr>
            </w:pPr>
            <w:r w:rsidRPr="00CA6276">
              <w:rPr>
                <w:rFonts w:ascii="Arial" w:hAnsi="Arial" w:cs="Arial"/>
                <w:sz w:val="24"/>
                <w:szCs w:val="24"/>
              </w:rPr>
              <w:t>23</w:t>
            </w:r>
          </w:p>
        </w:tc>
        <w:tc>
          <w:tcPr>
            <w:tcW w:w="3727" w:type="dxa"/>
          </w:tcPr>
          <w:p w:rsidR="007E199D" w:rsidRPr="00CA6276" w:rsidRDefault="007E199D" w:rsidP="009F0C33">
            <w:pPr>
              <w:widowControl w:val="0"/>
              <w:spacing w:after="0" w:line="240" w:lineRule="auto"/>
              <w:rPr>
                <w:rFonts w:ascii="Arial" w:hAnsi="Arial" w:cs="Arial"/>
                <w:sz w:val="24"/>
                <w:szCs w:val="24"/>
              </w:rPr>
            </w:pPr>
            <w:r w:rsidRPr="00CA6276">
              <w:rPr>
                <w:rFonts w:ascii="Arial" w:hAnsi="Arial" w:cs="Arial"/>
                <w:sz w:val="24"/>
                <w:szCs w:val="24"/>
              </w:rPr>
              <w:t xml:space="preserve">Companies that choose to share information voluntarily should have policies, procedures, and processes to document compliance; maintain adequate internal controls; provide ongoing training; and independently test its compliance. At a minimum, the procedures should: </w:t>
            </w:r>
          </w:p>
          <w:p w:rsidR="007E199D" w:rsidRPr="002B24D3" w:rsidRDefault="007E199D" w:rsidP="009F0C33">
            <w:pPr>
              <w:pStyle w:val="ListParagraph"/>
              <w:widowControl/>
              <w:numPr>
                <w:ilvl w:val="0"/>
                <w:numId w:val="49"/>
              </w:numPr>
              <w:rPr>
                <w:rFonts w:ascii="Arial" w:hAnsi="Arial" w:cs="Arial"/>
                <w:szCs w:val="24"/>
              </w:rPr>
            </w:pPr>
            <w:r w:rsidRPr="002B24D3">
              <w:rPr>
                <w:rFonts w:ascii="Arial" w:hAnsi="Arial" w:cs="Arial"/>
                <w:szCs w:val="24"/>
              </w:rPr>
              <w:t xml:space="preserve">Designate a point of contact for receiving and providing information. </w:t>
            </w:r>
          </w:p>
          <w:p w:rsidR="007E199D" w:rsidRPr="002B24D3" w:rsidRDefault="007E199D" w:rsidP="009F0C33">
            <w:pPr>
              <w:pStyle w:val="ListParagraph"/>
              <w:widowControl/>
              <w:numPr>
                <w:ilvl w:val="0"/>
                <w:numId w:val="49"/>
              </w:numPr>
              <w:rPr>
                <w:rFonts w:ascii="Arial" w:hAnsi="Arial" w:cs="Arial"/>
                <w:szCs w:val="24"/>
              </w:rPr>
            </w:pPr>
            <w:r w:rsidRPr="002B24D3">
              <w:rPr>
                <w:rFonts w:ascii="Arial" w:hAnsi="Arial" w:cs="Arial"/>
                <w:szCs w:val="24"/>
              </w:rPr>
              <w:t xml:space="preserve">Ensure the safeguarding and confidentiality of information received and information requested. </w:t>
            </w:r>
          </w:p>
          <w:p w:rsidR="007E199D" w:rsidRPr="002B24D3" w:rsidRDefault="007E199D" w:rsidP="009F0C33">
            <w:pPr>
              <w:pStyle w:val="ListParagraph"/>
              <w:widowControl/>
              <w:numPr>
                <w:ilvl w:val="0"/>
                <w:numId w:val="49"/>
              </w:numPr>
              <w:rPr>
                <w:rFonts w:ascii="Arial" w:hAnsi="Arial" w:cs="Arial"/>
                <w:szCs w:val="24"/>
              </w:rPr>
            </w:pPr>
            <w:r w:rsidRPr="002B24D3">
              <w:rPr>
                <w:rFonts w:ascii="Arial" w:hAnsi="Arial" w:cs="Arial"/>
                <w:szCs w:val="24"/>
              </w:rPr>
              <w:t xml:space="preserve">Establish a process for sending and responding to requests, including ensuring that other parties with whom the financial institution intends to share information (including affiliates) have filed the proper notice. </w:t>
            </w:r>
          </w:p>
          <w:p w:rsidR="007E199D" w:rsidRPr="002B24D3" w:rsidRDefault="007E199D" w:rsidP="009F0C33">
            <w:pPr>
              <w:pStyle w:val="ListParagraph"/>
              <w:widowControl/>
              <w:numPr>
                <w:ilvl w:val="0"/>
                <w:numId w:val="49"/>
              </w:numPr>
              <w:rPr>
                <w:rFonts w:ascii="Arial" w:hAnsi="Arial" w:cs="Arial"/>
                <w:szCs w:val="24"/>
              </w:rPr>
            </w:pPr>
            <w:r w:rsidRPr="002B24D3">
              <w:rPr>
                <w:rFonts w:ascii="Arial" w:hAnsi="Arial" w:cs="Arial"/>
                <w:szCs w:val="24"/>
              </w:rPr>
              <w:t xml:space="preserve">Establish procedures for determining whether and when a SAR should be filed. </w:t>
            </w:r>
          </w:p>
          <w:p w:rsidR="007E199D" w:rsidRPr="00CA6276" w:rsidRDefault="007E199D" w:rsidP="009F0C33">
            <w:pPr>
              <w:spacing w:after="0" w:line="240" w:lineRule="auto"/>
              <w:ind w:hanging="360"/>
              <w:rPr>
                <w:rFonts w:ascii="Arial" w:hAnsi="Arial" w:cs="Arial"/>
                <w:sz w:val="24"/>
                <w:szCs w:val="24"/>
              </w:rPr>
            </w:pPr>
          </w:p>
          <w:p w:rsidR="007E199D" w:rsidRPr="00CA6276" w:rsidRDefault="007E199D" w:rsidP="009F0C33">
            <w:pPr>
              <w:spacing w:after="0" w:line="240" w:lineRule="auto"/>
              <w:rPr>
                <w:rFonts w:ascii="Arial" w:hAnsi="Arial" w:cs="Arial"/>
                <w:sz w:val="24"/>
                <w:szCs w:val="24"/>
              </w:rPr>
            </w:pPr>
            <w:r w:rsidRPr="00CA6276">
              <w:rPr>
                <w:rFonts w:ascii="Arial" w:hAnsi="Arial" w:cs="Arial"/>
                <w:sz w:val="24"/>
                <w:szCs w:val="24"/>
              </w:rPr>
              <w:t>If the company is sharing information with other entities and is not following the procedures, notify the examiners reviewing the privacy rules.</w:t>
            </w:r>
          </w:p>
        </w:tc>
        <w:tc>
          <w:tcPr>
            <w:tcW w:w="389" w:type="dxa"/>
          </w:tcPr>
          <w:p w:rsidR="007E199D" w:rsidRPr="00CA6276" w:rsidRDefault="007E199D" w:rsidP="00C3748E">
            <w:pPr>
              <w:spacing w:after="0"/>
              <w:rPr>
                <w:rFonts w:ascii="Arial" w:hAnsi="Arial" w:cs="Arial"/>
                <w:sz w:val="24"/>
                <w:szCs w:val="24"/>
              </w:rPr>
            </w:pPr>
          </w:p>
        </w:tc>
        <w:tc>
          <w:tcPr>
            <w:tcW w:w="390" w:type="dxa"/>
          </w:tcPr>
          <w:p w:rsidR="007E199D" w:rsidRPr="00CA6276" w:rsidRDefault="007E199D" w:rsidP="00C3748E">
            <w:pPr>
              <w:spacing w:after="0"/>
              <w:rPr>
                <w:rFonts w:ascii="Arial" w:hAnsi="Arial" w:cs="Arial"/>
                <w:sz w:val="24"/>
                <w:szCs w:val="24"/>
              </w:rPr>
            </w:pPr>
          </w:p>
        </w:tc>
        <w:tc>
          <w:tcPr>
            <w:tcW w:w="4431" w:type="dxa"/>
          </w:tcPr>
          <w:p w:rsidR="007E199D" w:rsidRPr="00CA6276" w:rsidRDefault="007E199D" w:rsidP="00C3748E">
            <w:pPr>
              <w:spacing w:after="0"/>
              <w:rPr>
                <w:rFonts w:ascii="Arial" w:hAnsi="Arial" w:cs="Arial"/>
                <w:sz w:val="24"/>
                <w:szCs w:val="24"/>
              </w:rPr>
            </w:pPr>
          </w:p>
        </w:tc>
      </w:tr>
      <w:tr w:rsidR="007E199D" w:rsidRPr="00CA6276" w:rsidTr="00C3748E">
        <w:tc>
          <w:tcPr>
            <w:tcW w:w="639" w:type="dxa"/>
          </w:tcPr>
          <w:p w:rsidR="007E199D" w:rsidRPr="00CA6276" w:rsidRDefault="007E199D" w:rsidP="00C3748E">
            <w:pPr>
              <w:spacing w:after="0"/>
              <w:jc w:val="center"/>
              <w:rPr>
                <w:rFonts w:ascii="Arial" w:hAnsi="Arial" w:cs="Arial"/>
                <w:sz w:val="24"/>
                <w:szCs w:val="24"/>
              </w:rPr>
            </w:pPr>
            <w:r w:rsidRPr="00CA6276">
              <w:rPr>
                <w:rFonts w:ascii="Arial" w:hAnsi="Arial" w:cs="Arial"/>
                <w:sz w:val="24"/>
                <w:szCs w:val="24"/>
              </w:rPr>
              <w:t>24</w:t>
            </w:r>
          </w:p>
        </w:tc>
        <w:tc>
          <w:tcPr>
            <w:tcW w:w="3727" w:type="dxa"/>
          </w:tcPr>
          <w:p w:rsidR="007E199D" w:rsidRPr="00CA6276" w:rsidRDefault="007E199D" w:rsidP="009F0C33">
            <w:pPr>
              <w:spacing w:after="0" w:line="240" w:lineRule="auto"/>
              <w:rPr>
                <w:rFonts w:ascii="Arial" w:hAnsi="Arial" w:cs="Arial"/>
                <w:sz w:val="24"/>
                <w:szCs w:val="24"/>
              </w:rPr>
            </w:pPr>
            <w:r w:rsidRPr="00CA6276">
              <w:rPr>
                <w:rFonts w:ascii="Arial" w:hAnsi="Arial" w:cs="Arial"/>
                <w:sz w:val="24"/>
                <w:szCs w:val="24"/>
              </w:rPr>
              <w:t xml:space="preserve">Through a review of the company’s documentation </w:t>
            </w:r>
            <w:r w:rsidRPr="00CA6276">
              <w:rPr>
                <w:rFonts w:ascii="Arial" w:hAnsi="Arial" w:cs="Arial"/>
                <w:sz w:val="24"/>
                <w:szCs w:val="24"/>
              </w:rPr>
              <w:lastRenderedPageBreak/>
              <w:t xml:space="preserve">(including loan files) on a sample of the information shared and received, evaluate how the company determined whether a Suspicious </w:t>
            </w:r>
            <w:r w:rsidR="00B23EA2" w:rsidRPr="00CA6276">
              <w:rPr>
                <w:rFonts w:ascii="Arial" w:hAnsi="Arial" w:cs="Arial"/>
                <w:sz w:val="24"/>
                <w:szCs w:val="24"/>
              </w:rPr>
              <w:t>Activity Report (</w:t>
            </w:r>
            <w:r w:rsidRPr="00CA6276">
              <w:rPr>
                <w:rFonts w:ascii="Arial" w:hAnsi="Arial" w:cs="Arial"/>
                <w:sz w:val="24"/>
                <w:szCs w:val="24"/>
              </w:rPr>
              <w:t xml:space="preserve">SAR) was warranted.  </w:t>
            </w:r>
          </w:p>
        </w:tc>
        <w:tc>
          <w:tcPr>
            <w:tcW w:w="389" w:type="dxa"/>
          </w:tcPr>
          <w:p w:rsidR="007E199D" w:rsidRPr="00CA6276" w:rsidRDefault="007E199D" w:rsidP="00C3748E">
            <w:pPr>
              <w:spacing w:after="0"/>
              <w:rPr>
                <w:rFonts w:ascii="Arial" w:hAnsi="Arial" w:cs="Arial"/>
                <w:sz w:val="24"/>
                <w:szCs w:val="24"/>
              </w:rPr>
            </w:pPr>
          </w:p>
        </w:tc>
        <w:tc>
          <w:tcPr>
            <w:tcW w:w="390" w:type="dxa"/>
          </w:tcPr>
          <w:p w:rsidR="007E199D" w:rsidRPr="00CA6276" w:rsidRDefault="007E199D" w:rsidP="00C3748E">
            <w:pPr>
              <w:spacing w:after="0"/>
              <w:rPr>
                <w:rFonts w:ascii="Arial" w:hAnsi="Arial" w:cs="Arial"/>
                <w:sz w:val="24"/>
                <w:szCs w:val="24"/>
              </w:rPr>
            </w:pPr>
          </w:p>
        </w:tc>
        <w:tc>
          <w:tcPr>
            <w:tcW w:w="4431" w:type="dxa"/>
          </w:tcPr>
          <w:p w:rsidR="007E199D" w:rsidRPr="00CA6276" w:rsidRDefault="007E199D" w:rsidP="00C3748E">
            <w:pPr>
              <w:spacing w:after="0"/>
              <w:rPr>
                <w:rFonts w:ascii="Arial" w:hAnsi="Arial" w:cs="Arial"/>
                <w:sz w:val="24"/>
                <w:szCs w:val="24"/>
              </w:rPr>
            </w:pPr>
          </w:p>
        </w:tc>
      </w:tr>
      <w:tr w:rsidR="007E199D" w:rsidRPr="00CA6276" w:rsidTr="00C3748E">
        <w:tc>
          <w:tcPr>
            <w:tcW w:w="9576" w:type="dxa"/>
            <w:gridSpan w:val="5"/>
            <w:shd w:val="clear" w:color="auto" w:fill="D9D9D9"/>
          </w:tcPr>
          <w:p w:rsidR="007E199D" w:rsidRPr="00CA6276" w:rsidRDefault="007E199D" w:rsidP="009F0C33">
            <w:pPr>
              <w:spacing w:after="0" w:line="240" w:lineRule="auto"/>
              <w:rPr>
                <w:rFonts w:ascii="Arial" w:hAnsi="Arial" w:cs="Arial"/>
                <w:b/>
                <w:sz w:val="24"/>
                <w:szCs w:val="24"/>
              </w:rPr>
            </w:pPr>
            <w:r w:rsidRPr="00CA6276">
              <w:rPr>
                <w:rFonts w:ascii="Arial" w:hAnsi="Arial" w:cs="Arial"/>
                <w:b/>
                <w:sz w:val="24"/>
                <w:szCs w:val="24"/>
              </w:rPr>
              <w:lastRenderedPageBreak/>
              <w:t>Transaction Testing for 314(a)</w:t>
            </w:r>
          </w:p>
        </w:tc>
      </w:tr>
      <w:tr w:rsidR="007E199D" w:rsidRPr="00CA6276" w:rsidTr="00C3748E">
        <w:tc>
          <w:tcPr>
            <w:tcW w:w="639" w:type="dxa"/>
          </w:tcPr>
          <w:p w:rsidR="007E199D" w:rsidRPr="00CA6276" w:rsidRDefault="007E199D" w:rsidP="00C3748E">
            <w:pPr>
              <w:spacing w:after="0"/>
              <w:jc w:val="center"/>
              <w:rPr>
                <w:rFonts w:ascii="Arial" w:hAnsi="Arial" w:cs="Arial"/>
                <w:sz w:val="24"/>
                <w:szCs w:val="24"/>
              </w:rPr>
            </w:pPr>
            <w:r w:rsidRPr="00CA6276">
              <w:rPr>
                <w:rFonts w:ascii="Arial" w:hAnsi="Arial" w:cs="Arial"/>
                <w:sz w:val="24"/>
                <w:szCs w:val="24"/>
              </w:rPr>
              <w:t>25</w:t>
            </w:r>
          </w:p>
        </w:tc>
        <w:tc>
          <w:tcPr>
            <w:tcW w:w="3727" w:type="dxa"/>
          </w:tcPr>
          <w:p w:rsidR="007E199D" w:rsidRPr="00CA6276" w:rsidRDefault="007E199D" w:rsidP="009F0C33">
            <w:pPr>
              <w:widowControl w:val="0"/>
              <w:spacing w:after="0" w:line="240" w:lineRule="auto"/>
              <w:rPr>
                <w:rFonts w:ascii="Arial" w:hAnsi="Arial" w:cs="Arial"/>
                <w:sz w:val="24"/>
                <w:szCs w:val="24"/>
              </w:rPr>
            </w:pPr>
            <w:r w:rsidRPr="00CA6276">
              <w:rPr>
                <w:rFonts w:ascii="Arial" w:hAnsi="Arial" w:cs="Arial"/>
                <w:sz w:val="24"/>
                <w:szCs w:val="24"/>
              </w:rPr>
              <w:t xml:space="preserve">On the basis of a risk assessment, prior examination reports, and a review of the company’s audit findings, select a sample of positive matches or recent requests to determine whether the following requirements have been met: </w:t>
            </w:r>
          </w:p>
          <w:p w:rsidR="007E199D" w:rsidRPr="002B24D3" w:rsidRDefault="007E199D" w:rsidP="009F0C33">
            <w:pPr>
              <w:pStyle w:val="ListParagraph"/>
              <w:widowControl/>
              <w:numPr>
                <w:ilvl w:val="0"/>
                <w:numId w:val="50"/>
              </w:numPr>
              <w:rPr>
                <w:rFonts w:ascii="Arial" w:hAnsi="Arial" w:cs="Arial"/>
                <w:szCs w:val="24"/>
              </w:rPr>
            </w:pPr>
            <w:r w:rsidRPr="002B24D3">
              <w:rPr>
                <w:rFonts w:ascii="Arial" w:hAnsi="Arial" w:cs="Arial"/>
                <w:szCs w:val="24"/>
              </w:rPr>
              <w:t>The company’s policies, procedures, and processes enable it to search all of the records identified in the General Instructions for section 314(a) requests. Such processes may be electronic, manual, or both.</w:t>
            </w:r>
          </w:p>
          <w:p w:rsidR="007E199D" w:rsidRPr="002B24D3" w:rsidRDefault="007E199D" w:rsidP="009F0C33">
            <w:pPr>
              <w:pStyle w:val="ListParagraph"/>
              <w:numPr>
                <w:ilvl w:val="0"/>
                <w:numId w:val="50"/>
              </w:numPr>
              <w:rPr>
                <w:rFonts w:ascii="Arial" w:hAnsi="Arial" w:cs="Arial"/>
                <w:szCs w:val="24"/>
              </w:rPr>
            </w:pPr>
            <w:r w:rsidRPr="002B24D3">
              <w:rPr>
                <w:rFonts w:ascii="Arial" w:hAnsi="Arial" w:cs="Arial"/>
                <w:szCs w:val="24"/>
              </w:rPr>
              <w:t xml:space="preserve">The RMLO searches appropriate records for each information request received. For positive matches: </w:t>
            </w:r>
          </w:p>
          <w:p w:rsidR="007E199D" w:rsidRPr="002B24D3" w:rsidRDefault="007E199D" w:rsidP="009F0C33">
            <w:pPr>
              <w:pStyle w:val="ListParagraph"/>
              <w:widowControl/>
              <w:numPr>
                <w:ilvl w:val="0"/>
                <w:numId w:val="58"/>
              </w:numPr>
              <w:ind w:left="1080"/>
              <w:rPr>
                <w:rFonts w:ascii="Arial" w:hAnsi="Arial" w:cs="Arial"/>
                <w:szCs w:val="24"/>
              </w:rPr>
            </w:pPr>
            <w:r w:rsidRPr="002B24D3">
              <w:rPr>
                <w:rFonts w:ascii="Arial" w:hAnsi="Arial" w:cs="Arial"/>
                <w:szCs w:val="24"/>
              </w:rPr>
              <w:t>Verify that a response was provided to FinCEN within the designated time period (31 CFR 1010.520</w:t>
            </w:r>
            <w:r w:rsidR="00B23EA2">
              <w:rPr>
                <w:rFonts w:ascii="Arial" w:hAnsi="Arial" w:cs="Arial"/>
                <w:szCs w:val="24"/>
              </w:rPr>
              <w:t>)</w:t>
            </w:r>
            <w:r w:rsidRPr="002B24D3">
              <w:rPr>
                <w:rFonts w:ascii="Arial" w:hAnsi="Arial" w:cs="Arial"/>
                <w:szCs w:val="24"/>
              </w:rPr>
              <w:t xml:space="preserve">. </w:t>
            </w:r>
          </w:p>
          <w:p w:rsidR="007E199D" w:rsidRPr="00CA6276" w:rsidRDefault="007E199D" w:rsidP="009F0C33">
            <w:pPr>
              <w:spacing w:after="0" w:line="240" w:lineRule="auto"/>
              <w:ind w:left="1440"/>
              <w:rPr>
                <w:rFonts w:ascii="Arial" w:hAnsi="Arial" w:cs="Arial"/>
                <w:sz w:val="24"/>
                <w:szCs w:val="24"/>
              </w:rPr>
            </w:pPr>
          </w:p>
          <w:p w:rsidR="007E199D" w:rsidRPr="002B24D3" w:rsidRDefault="007E199D" w:rsidP="009F0C33">
            <w:pPr>
              <w:pStyle w:val="ListParagraph"/>
              <w:widowControl/>
              <w:numPr>
                <w:ilvl w:val="0"/>
                <w:numId w:val="58"/>
              </w:numPr>
              <w:ind w:left="1080"/>
              <w:rPr>
                <w:rFonts w:ascii="Arial" w:hAnsi="Arial" w:cs="Arial"/>
                <w:szCs w:val="24"/>
              </w:rPr>
            </w:pPr>
            <w:r w:rsidRPr="002B24D3">
              <w:rPr>
                <w:rFonts w:ascii="Arial" w:hAnsi="Arial" w:cs="Arial"/>
                <w:szCs w:val="24"/>
              </w:rPr>
              <w:t xml:space="preserve">Review the company’s documentation (including account analysis) to evaluate how the company determined whether a SAR was warranted. RMLO are not required to file SARs solely on the basis of </w:t>
            </w:r>
            <w:r w:rsidRPr="002B24D3">
              <w:rPr>
                <w:rFonts w:ascii="Arial" w:hAnsi="Arial" w:cs="Arial"/>
                <w:szCs w:val="24"/>
              </w:rPr>
              <w:lastRenderedPageBreak/>
              <w:t xml:space="preserve">a match with a named subject; instead, activity should be considered in determining whether a SAR is warranted. </w:t>
            </w:r>
          </w:p>
        </w:tc>
        <w:tc>
          <w:tcPr>
            <w:tcW w:w="389" w:type="dxa"/>
          </w:tcPr>
          <w:p w:rsidR="007E199D" w:rsidRPr="00CA6276" w:rsidRDefault="007E199D" w:rsidP="00C3748E">
            <w:pPr>
              <w:spacing w:after="0"/>
              <w:rPr>
                <w:rFonts w:ascii="Arial" w:hAnsi="Arial" w:cs="Arial"/>
                <w:sz w:val="24"/>
                <w:szCs w:val="24"/>
              </w:rPr>
            </w:pPr>
          </w:p>
        </w:tc>
        <w:tc>
          <w:tcPr>
            <w:tcW w:w="390" w:type="dxa"/>
          </w:tcPr>
          <w:p w:rsidR="007E199D" w:rsidRPr="00CA6276" w:rsidRDefault="007E199D" w:rsidP="00C3748E">
            <w:pPr>
              <w:spacing w:after="0"/>
              <w:rPr>
                <w:rFonts w:ascii="Arial" w:hAnsi="Arial" w:cs="Arial"/>
                <w:sz w:val="24"/>
                <w:szCs w:val="24"/>
              </w:rPr>
            </w:pPr>
          </w:p>
        </w:tc>
        <w:tc>
          <w:tcPr>
            <w:tcW w:w="4431" w:type="dxa"/>
          </w:tcPr>
          <w:p w:rsidR="007E199D" w:rsidRPr="00CA6276" w:rsidRDefault="007E199D" w:rsidP="00C3748E">
            <w:pPr>
              <w:spacing w:after="0"/>
              <w:rPr>
                <w:rFonts w:ascii="Arial" w:hAnsi="Arial" w:cs="Arial"/>
                <w:sz w:val="24"/>
                <w:szCs w:val="24"/>
              </w:rPr>
            </w:pPr>
          </w:p>
        </w:tc>
      </w:tr>
      <w:tr w:rsidR="007E199D" w:rsidRPr="00CA6276" w:rsidTr="00C3748E">
        <w:tc>
          <w:tcPr>
            <w:tcW w:w="639" w:type="dxa"/>
          </w:tcPr>
          <w:p w:rsidR="007E199D" w:rsidRPr="00CA6276" w:rsidRDefault="007E199D" w:rsidP="00C3748E">
            <w:pPr>
              <w:spacing w:after="0"/>
              <w:jc w:val="center"/>
              <w:rPr>
                <w:rFonts w:ascii="Arial" w:hAnsi="Arial" w:cs="Arial"/>
                <w:sz w:val="24"/>
                <w:szCs w:val="24"/>
              </w:rPr>
            </w:pPr>
            <w:r w:rsidRPr="00CA6276">
              <w:rPr>
                <w:rFonts w:ascii="Arial" w:hAnsi="Arial" w:cs="Arial"/>
                <w:sz w:val="24"/>
                <w:szCs w:val="24"/>
              </w:rPr>
              <w:lastRenderedPageBreak/>
              <w:t>26</w:t>
            </w:r>
          </w:p>
        </w:tc>
        <w:tc>
          <w:tcPr>
            <w:tcW w:w="3727" w:type="dxa"/>
          </w:tcPr>
          <w:p w:rsidR="00B23EA2" w:rsidRPr="00CA6276" w:rsidRDefault="007E199D" w:rsidP="009F0C33">
            <w:pPr>
              <w:widowControl w:val="0"/>
              <w:spacing w:after="0" w:line="240" w:lineRule="auto"/>
              <w:rPr>
                <w:rFonts w:ascii="Arial" w:hAnsi="Arial" w:cs="Arial"/>
                <w:sz w:val="24"/>
                <w:szCs w:val="24"/>
              </w:rPr>
            </w:pPr>
            <w:r w:rsidRPr="00CA6276">
              <w:rPr>
                <w:rFonts w:ascii="Arial" w:hAnsi="Arial" w:cs="Arial"/>
                <w:sz w:val="24"/>
                <w:szCs w:val="24"/>
              </w:rPr>
              <w:t>The RMLO uses information only in the manner and for the purposes allowed and keeps information secure and confidential (31 CFR 1010.520</w:t>
            </w:r>
            <w:r w:rsidR="00B23EA2" w:rsidRPr="00CA6276">
              <w:rPr>
                <w:rFonts w:ascii="Arial" w:hAnsi="Arial" w:cs="Arial"/>
                <w:sz w:val="24"/>
                <w:szCs w:val="24"/>
              </w:rPr>
              <w:t xml:space="preserve">). </w:t>
            </w:r>
          </w:p>
          <w:p w:rsidR="00B23EA2" w:rsidRPr="00CA6276" w:rsidRDefault="00B23EA2" w:rsidP="009F0C33">
            <w:pPr>
              <w:widowControl w:val="0"/>
              <w:spacing w:after="0" w:line="240" w:lineRule="auto"/>
              <w:rPr>
                <w:rFonts w:ascii="Arial" w:hAnsi="Arial" w:cs="Arial"/>
                <w:sz w:val="24"/>
                <w:szCs w:val="24"/>
              </w:rPr>
            </w:pPr>
          </w:p>
          <w:p w:rsidR="007E199D" w:rsidRPr="00CA6276" w:rsidRDefault="007E199D" w:rsidP="009F0C33">
            <w:pPr>
              <w:widowControl w:val="0"/>
              <w:spacing w:after="0" w:line="240" w:lineRule="auto"/>
              <w:rPr>
                <w:rFonts w:ascii="Arial" w:hAnsi="Arial" w:cs="Arial"/>
                <w:i/>
                <w:sz w:val="24"/>
                <w:szCs w:val="24"/>
              </w:rPr>
            </w:pPr>
            <w:r w:rsidRPr="00CA6276">
              <w:rPr>
                <w:rFonts w:ascii="Arial" w:hAnsi="Arial" w:cs="Arial"/>
                <w:i/>
                <w:sz w:val="24"/>
                <w:szCs w:val="24"/>
              </w:rPr>
              <w:t>This requirement can be verified throug</w:t>
            </w:r>
            <w:r w:rsidR="00B23EA2" w:rsidRPr="00CA6276">
              <w:rPr>
                <w:rFonts w:ascii="Arial" w:hAnsi="Arial" w:cs="Arial"/>
                <w:i/>
                <w:sz w:val="24"/>
                <w:szCs w:val="24"/>
              </w:rPr>
              <w:t>h discussions with management.</w:t>
            </w:r>
          </w:p>
        </w:tc>
        <w:tc>
          <w:tcPr>
            <w:tcW w:w="389" w:type="dxa"/>
          </w:tcPr>
          <w:p w:rsidR="007E199D" w:rsidRPr="00CA6276" w:rsidRDefault="007E199D" w:rsidP="00C3748E">
            <w:pPr>
              <w:spacing w:after="0"/>
              <w:rPr>
                <w:rFonts w:ascii="Arial" w:hAnsi="Arial" w:cs="Arial"/>
                <w:sz w:val="24"/>
                <w:szCs w:val="24"/>
              </w:rPr>
            </w:pPr>
          </w:p>
        </w:tc>
        <w:tc>
          <w:tcPr>
            <w:tcW w:w="390" w:type="dxa"/>
          </w:tcPr>
          <w:p w:rsidR="007E199D" w:rsidRPr="00CA6276" w:rsidRDefault="007E199D" w:rsidP="00C3748E">
            <w:pPr>
              <w:spacing w:after="0"/>
              <w:rPr>
                <w:rFonts w:ascii="Arial" w:hAnsi="Arial" w:cs="Arial"/>
                <w:sz w:val="24"/>
                <w:szCs w:val="24"/>
              </w:rPr>
            </w:pPr>
          </w:p>
        </w:tc>
        <w:tc>
          <w:tcPr>
            <w:tcW w:w="4431" w:type="dxa"/>
          </w:tcPr>
          <w:p w:rsidR="007E199D" w:rsidRPr="00CA6276" w:rsidRDefault="007E199D" w:rsidP="00C3748E">
            <w:pPr>
              <w:spacing w:after="0"/>
              <w:rPr>
                <w:rFonts w:ascii="Arial" w:hAnsi="Arial" w:cs="Arial"/>
                <w:sz w:val="24"/>
                <w:szCs w:val="24"/>
              </w:rPr>
            </w:pPr>
          </w:p>
        </w:tc>
      </w:tr>
      <w:tr w:rsidR="007E199D" w:rsidRPr="00CA6276" w:rsidTr="00C3748E">
        <w:tc>
          <w:tcPr>
            <w:tcW w:w="639" w:type="dxa"/>
          </w:tcPr>
          <w:p w:rsidR="007E199D" w:rsidRPr="00CA6276" w:rsidRDefault="007E199D" w:rsidP="00C3748E">
            <w:pPr>
              <w:spacing w:after="0"/>
              <w:jc w:val="center"/>
              <w:rPr>
                <w:rFonts w:ascii="Arial" w:hAnsi="Arial" w:cs="Arial"/>
                <w:sz w:val="24"/>
                <w:szCs w:val="24"/>
              </w:rPr>
            </w:pPr>
            <w:r w:rsidRPr="00CA6276">
              <w:rPr>
                <w:rFonts w:ascii="Arial" w:hAnsi="Arial" w:cs="Arial"/>
                <w:sz w:val="24"/>
                <w:szCs w:val="24"/>
              </w:rPr>
              <w:t>27</w:t>
            </w:r>
          </w:p>
        </w:tc>
        <w:tc>
          <w:tcPr>
            <w:tcW w:w="3727" w:type="dxa"/>
          </w:tcPr>
          <w:p w:rsidR="007E199D" w:rsidRPr="00CA6276" w:rsidRDefault="007E199D" w:rsidP="009F0C33">
            <w:pPr>
              <w:spacing w:after="0" w:line="240" w:lineRule="auto"/>
              <w:rPr>
                <w:rFonts w:ascii="Arial" w:hAnsi="Arial" w:cs="Arial"/>
                <w:b/>
                <w:sz w:val="24"/>
                <w:szCs w:val="24"/>
              </w:rPr>
            </w:pPr>
            <w:r w:rsidRPr="00CA6276">
              <w:rPr>
                <w:rFonts w:ascii="Arial" w:hAnsi="Arial" w:cs="Arial"/>
                <w:sz w:val="24"/>
                <w:szCs w:val="24"/>
              </w:rPr>
              <w:t>On the basis of examination procedures completed, including transaction testing, form a conclusion about the ability of policies, procedures, and processes to meet regulatory requirements associated with information sharing.</w:t>
            </w:r>
          </w:p>
        </w:tc>
        <w:tc>
          <w:tcPr>
            <w:tcW w:w="389" w:type="dxa"/>
          </w:tcPr>
          <w:p w:rsidR="007E199D" w:rsidRPr="00CA6276" w:rsidRDefault="007E199D" w:rsidP="00C3748E">
            <w:pPr>
              <w:spacing w:after="0"/>
              <w:rPr>
                <w:rFonts w:ascii="Arial" w:hAnsi="Arial" w:cs="Arial"/>
                <w:sz w:val="24"/>
                <w:szCs w:val="24"/>
              </w:rPr>
            </w:pPr>
          </w:p>
        </w:tc>
        <w:tc>
          <w:tcPr>
            <w:tcW w:w="390" w:type="dxa"/>
          </w:tcPr>
          <w:p w:rsidR="007E199D" w:rsidRPr="00CA6276" w:rsidRDefault="007E199D" w:rsidP="00C3748E">
            <w:pPr>
              <w:spacing w:after="0"/>
              <w:rPr>
                <w:rFonts w:ascii="Arial" w:hAnsi="Arial" w:cs="Arial"/>
                <w:sz w:val="24"/>
                <w:szCs w:val="24"/>
              </w:rPr>
            </w:pPr>
          </w:p>
        </w:tc>
        <w:tc>
          <w:tcPr>
            <w:tcW w:w="4431" w:type="dxa"/>
          </w:tcPr>
          <w:p w:rsidR="007E199D" w:rsidRPr="00CA6276" w:rsidRDefault="007E199D" w:rsidP="00C3748E">
            <w:pPr>
              <w:spacing w:after="0"/>
              <w:rPr>
                <w:rFonts w:ascii="Arial" w:hAnsi="Arial" w:cs="Arial"/>
                <w:sz w:val="24"/>
                <w:szCs w:val="24"/>
              </w:rPr>
            </w:pPr>
          </w:p>
        </w:tc>
      </w:tr>
      <w:tr w:rsidR="007E199D" w:rsidRPr="00CA6276" w:rsidTr="00C3748E">
        <w:tc>
          <w:tcPr>
            <w:tcW w:w="639" w:type="dxa"/>
          </w:tcPr>
          <w:p w:rsidR="007E199D" w:rsidRPr="00CA6276" w:rsidRDefault="007E199D" w:rsidP="00C3748E">
            <w:pPr>
              <w:spacing w:after="0"/>
              <w:jc w:val="center"/>
              <w:rPr>
                <w:rFonts w:ascii="Arial" w:hAnsi="Arial" w:cs="Arial"/>
                <w:sz w:val="24"/>
                <w:szCs w:val="24"/>
              </w:rPr>
            </w:pPr>
            <w:r w:rsidRPr="00CA6276">
              <w:rPr>
                <w:rFonts w:ascii="Arial" w:hAnsi="Arial" w:cs="Arial"/>
                <w:sz w:val="24"/>
                <w:szCs w:val="24"/>
              </w:rPr>
              <w:t>28</w:t>
            </w:r>
          </w:p>
        </w:tc>
        <w:tc>
          <w:tcPr>
            <w:tcW w:w="3727" w:type="dxa"/>
          </w:tcPr>
          <w:p w:rsidR="007E199D" w:rsidRPr="00CA6276" w:rsidRDefault="007E199D" w:rsidP="009F0C33">
            <w:pPr>
              <w:spacing w:after="0" w:line="240" w:lineRule="auto"/>
              <w:rPr>
                <w:rFonts w:ascii="Arial" w:hAnsi="Arial" w:cs="Arial"/>
                <w:sz w:val="24"/>
                <w:szCs w:val="24"/>
              </w:rPr>
            </w:pPr>
            <w:r w:rsidRPr="00CA6276">
              <w:rPr>
                <w:rFonts w:ascii="Arial" w:hAnsi="Arial" w:cs="Arial"/>
                <w:sz w:val="24"/>
                <w:szCs w:val="24"/>
              </w:rPr>
              <w:t>Discuss items of concern, scope of work performed, and conclusions with the EIC.</w:t>
            </w:r>
          </w:p>
        </w:tc>
        <w:tc>
          <w:tcPr>
            <w:tcW w:w="389" w:type="dxa"/>
          </w:tcPr>
          <w:p w:rsidR="007E199D" w:rsidRPr="00CA6276" w:rsidRDefault="007E199D" w:rsidP="00C3748E">
            <w:pPr>
              <w:spacing w:after="0"/>
              <w:rPr>
                <w:rFonts w:ascii="Arial" w:hAnsi="Arial" w:cs="Arial"/>
                <w:sz w:val="24"/>
                <w:szCs w:val="24"/>
              </w:rPr>
            </w:pPr>
          </w:p>
        </w:tc>
        <w:tc>
          <w:tcPr>
            <w:tcW w:w="390" w:type="dxa"/>
          </w:tcPr>
          <w:p w:rsidR="007E199D" w:rsidRPr="00CA6276" w:rsidRDefault="007E199D" w:rsidP="00C3748E">
            <w:pPr>
              <w:spacing w:after="0"/>
              <w:rPr>
                <w:rFonts w:ascii="Arial" w:hAnsi="Arial" w:cs="Arial"/>
                <w:sz w:val="24"/>
                <w:szCs w:val="24"/>
              </w:rPr>
            </w:pPr>
          </w:p>
        </w:tc>
        <w:tc>
          <w:tcPr>
            <w:tcW w:w="4431" w:type="dxa"/>
          </w:tcPr>
          <w:p w:rsidR="007E199D" w:rsidRPr="00CA6276" w:rsidRDefault="007E199D" w:rsidP="00C3748E">
            <w:pPr>
              <w:spacing w:after="0"/>
              <w:rPr>
                <w:rFonts w:ascii="Arial" w:hAnsi="Arial" w:cs="Arial"/>
                <w:sz w:val="24"/>
                <w:szCs w:val="24"/>
              </w:rPr>
            </w:pPr>
          </w:p>
        </w:tc>
      </w:tr>
      <w:tr w:rsidR="007E199D" w:rsidRPr="00CA6276" w:rsidTr="00C3748E">
        <w:tc>
          <w:tcPr>
            <w:tcW w:w="639" w:type="dxa"/>
          </w:tcPr>
          <w:p w:rsidR="007E199D" w:rsidRPr="00CA6276" w:rsidRDefault="007E199D" w:rsidP="00C3748E">
            <w:pPr>
              <w:autoSpaceDE w:val="0"/>
              <w:autoSpaceDN w:val="0"/>
              <w:adjustRightInd w:val="0"/>
              <w:jc w:val="center"/>
              <w:rPr>
                <w:rFonts w:ascii="Arial" w:hAnsi="Arial" w:cs="Arial"/>
                <w:sz w:val="24"/>
                <w:szCs w:val="24"/>
              </w:rPr>
            </w:pPr>
            <w:r w:rsidRPr="00CA6276">
              <w:rPr>
                <w:rFonts w:ascii="Arial" w:hAnsi="Arial" w:cs="Arial"/>
                <w:sz w:val="24"/>
                <w:szCs w:val="24"/>
              </w:rPr>
              <w:t>29</w:t>
            </w:r>
          </w:p>
        </w:tc>
        <w:tc>
          <w:tcPr>
            <w:tcW w:w="3727" w:type="dxa"/>
          </w:tcPr>
          <w:p w:rsidR="007E199D" w:rsidRPr="00CA6276" w:rsidRDefault="007E199D" w:rsidP="009F0C33">
            <w:pPr>
              <w:widowControl w:val="0"/>
              <w:spacing w:after="0" w:line="240" w:lineRule="auto"/>
              <w:rPr>
                <w:rFonts w:ascii="Arial" w:hAnsi="Arial" w:cs="Arial"/>
                <w:sz w:val="24"/>
                <w:szCs w:val="24"/>
              </w:rPr>
            </w:pPr>
            <w:r w:rsidRPr="00CA6276">
              <w:rPr>
                <w:rFonts w:ascii="Arial" w:hAnsi="Arial" w:cs="Arial"/>
                <w:sz w:val="24"/>
                <w:szCs w:val="24"/>
              </w:rPr>
              <w:t>Organize and compile, if necessary, violations of law and regulation into a Violation Summary Sheet.</w:t>
            </w:r>
          </w:p>
        </w:tc>
        <w:tc>
          <w:tcPr>
            <w:tcW w:w="389" w:type="dxa"/>
            <w:vAlign w:val="center"/>
          </w:tcPr>
          <w:p w:rsidR="007E199D" w:rsidRPr="00CA6276" w:rsidRDefault="007E199D" w:rsidP="00C3748E">
            <w:pPr>
              <w:autoSpaceDE w:val="0"/>
              <w:autoSpaceDN w:val="0"/>
              <w:adjustRightInd w:val="0"/>
              <w:jc w:val="center"/>
              <w:rPr>
                <w:rFonts w:ascii="Arial" w:hAnsi="Arial" w:cs="Arial"/>
                <w:b/>
                <w:sz w:val="24"/>
                <w:szCs w:val="24"/>
              </w:rPr>
            </w:pPr>
          </w:p>
        </w:tc>
        <w:tc>
          <w:tcPr>
            <w:tcW w:w="390" w:type="dxa"/>
          </w:tcPr>
          <w:p w:rsidR="007E199D" w:rsidRPr="00CA6276" w:rsidRDefault="007E199D" w:rsidP="00C3748E">
            <w:pPr>
              <w:autoSpaceDE w:val="0"/>
              <w:autoSpaceDN w:val="0"/>
              <w:adjustRightInd w:val="0"/>
              <w:rPr>
                <w:rFonts w:ascii="Arial" w:hAnsi="Arial" w:cs="Arial"/>
                <w:sz w:val="24"/>
                <w:szCs w:val="24"/>
              </w:rPr>
            </w:pPr>
          </w:p>
        </w:tc>
        <w:tc>
          <w:tcPr>
            <w:tcW w:w="4431" w:type="dxa"/>
          </w:tcPr>
          <w:p w:rsidR="007E199D" w:rsidRPr="00CA6276" w:rsidRDefault="007E199D" w:rsidP="00C3748E">
            <w:pPr>
              <w:rPr>
                <w:rFonts w:ascii="Arial" w:hAnsi="Arial" w:cs="Arial"/>
                <w:sz w:val="24"/>
                <w:szCs w:val="24"/>
              </w:rPr>
            </w:pPr>
          </w:p>
        </w:tc>
      </w:tr>
    </w:tbl>
    <w:p w:rsidR="00C220A3" w:rsidRPr="0008572D" w:rsidRDefault="00C220A3">
      <w:pPr>
        <w:rPr>
          <w:rFonts w:ascii="Arial" w:hAnsi="Arial" w:cs="Arial"/>
          <w:sz w:val="24"/>
          <w:szCs w:val="24"/>
        </w:rPr>
      </w:pPr>
    </w:p>
    <w:p w:rsidR="0008572D" w:rsidRPr="0008572D" w:rsidRDefault="0008572D" w:rsidP="0008572D">
      <w:pPr>
        <w:pStyle w:val="Heading1"/>
        <w:spacing w:before="0"/>
        <w:rPr>
          <w:rFonts w:cs="Arial"/>
          <w:color w:val="0070C0"/>
          <w:sz w:val="24"/>
          <w:szCs w:val="24"/>
        </w:rPr>
      </w:pPr>
      <w:bookmarkStart w:id="21" w:name="_Toc335314204"/>
      <w:r w:rsidRPr="0008572D">
        <w:rPr>
          <w:rFonts w:cs="Arial"/>
          <w:color w:val="0070C0"/>
          <w:sz w:val="24"/>
          <w:szCs w:val="24"/>
        </w:rPr>
        <w:t>Office of Foreign Assets Control (OFAC)</w:t>
      </w:r>
      <w:bookmarkEnd w:id="21"/>
    </w:p>
    <w:p w:rsidR="0008572D" w:rsidRPr="0008572D" w:rsidRDefault="0008572D" w:rsidP="0008572D">
      <w:pPr>
        <w:pStyle w:val="Heading2"/>
        <w:rPr>
          <w:rFonts w:cs="Arial"/>
          <w:sz w:val="24"/>
          <w:szCs w:val="24"/>
        </w:rPr>
      </w:pPr>
      <w:bookmarkStart w:id="22" w:name="_Toc335314205"/>
      <w:r w:rsidRPr="0008572D">
        <w:rPr>
          <w:rFonts w:cs="Arial"/>
          <w:sz w:val="24"/>
          <w:szCs w:val="24"/>
        </w:rPr>
        <w:t xml:space="preserve">Overview </w:t>
      </w:r>
      <w:r w:rsidR="007B0BDB">
        <w:rPr>
          <w:rFonts w:cs="Arial"/>
          <w:sz w:val="24"/>
          <w:szCs w:val="24"/>
        </w:rPr>
        <w:t>&amp; Exam Procedures</w:t>
      </w:r>
      <w:bookmarkEnd w:id="22"/>
    </w:p>
    <w:p w:rsidR="0008572D" w:rsidRPr="0008572D" w:rsidRDefault="0008572D" w:rsidP="0008572D">
      <w:pPr>
        <w:rPr>
          <w:rFonts w:ascii="Arial" w:hAnsi="Arial" w:cs="Arial"/>
          <w:sz w:val="24"/>
          <w:szCs w:val="24"/>
        </w:rPr>
      </w:pPr>
    </w:p>
    <w:p w:rsidR="0008572D" w:rsidRPr="0008572D" w:rsidRDefault="0008572D" w:rsidP="0008572D">
      <w:pPr>
        <w:pStyle w:val="Body-BSA-AML"/>
        <w:jc w:val="both"/>
        <w:rPr>
          <w:rFonts w:ascii="Arial" w:hAnsi="Arial" w:cs="Arial"/>
          <w:snapToGrid w:val="0"/>
          <w:szCs w:val="24"/>
        </w:rPr>
      </w:pPr>
      <w:r w:rsidRPr="0008572D">
        <w:rPr>
          <w:rFonts w:ascii="Arial" w:hAnsi="Arial" w:cs="Arial"/>
          <w:snapToGrid w:val="0"/>
          <w:szCs w:val="24"/>
        </w:rPr>
        <w:t>OFAC is an office of the U.S. Treasury that administers and enforces economic and trade sanctions based on U.S. foreign policy and national security goals against entities such as targeted foreign countries, terrorists, international narcotics traffickers, and those engaged in activities related to the proliferation of weapons of mass destruction.</w:t>
      </w:r>
    </w:p>
    <w:p w:rsidR="0008572D" w:rsidRPr="0008572D" w:rsidRDefault="0008572D" w:rsidP="0008572D">
      <w:pPr>
        <w:jc w:val="both"/>
        <w:rPr>
          <w:rFonts w:ascii="Arial" w:hAnsi="Arial" w:cs="Arial"/>
          <w:b/>
          <w:sz w:val="24"/>
          <w:szCs w:val="24"/>
          <w:u w:val="single"/>
        </w:rPr>
      </w:pPr>
      <w:r w:rsidRPr="0008572D">
        <w:rPr>
          <w:rFonts w:ascii="Arial" w:hAnsi="Arial" w:cs="Arial"/>
          <w:sz w:val="24"/>
          <w:szCs w:val="24"/>
        </w:rPr>
        <w:t xml:space="preserve">While OFAC regulations are not part of the BSA, examiners should review the RMLO’s policies, procedures and processes for compliance with OFAC Sanctions. As part of the scoping and planning procedures, examiners must review the RMLO’s OFAC risk </w:t>
      </w:r>
      <w:r w:rsidRPr="0008572D">
        <w:rPr>
          <w:rFonts w:ascii="Arial" w:hAnsi="Arial" w:cs="Arial"/>
          <w:sz w:val="24"/>
          <w:szCs w:val="24"/>
        </w:rPr>
        <w:lastRenderedPageBreak/>
        <w:t>assessment and independent testing to determine the extent to which a review should be conducted during the examination.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3727"/>
        <w:gridCol w:w="389"/>
        <w:gridCol w:w="390"/>
        <w:gridCol w:w="4431"/>
      </w:tblGrid>
      <w:tr w:rsidR="00FC1DFC" w:rsidRPr="00CA6276" w:rsidTr="00FC1DFC">
        <w:tc>
          <w:tcPr>
            <w:tcW w:w="639" w:type="dxa"/>
            <w:shd w:val="clear" w:color="auto" w:fill="B8CCE4"/>
          </w:tcPr>
          <w:p w:rsidR="00FC1DFC" w:rsidRPr="00CA6276" w:rsidRDefault="00FC1DFC" w:rsidP="00C3748E">
            <w:pPr>
              <w:spacing w:after="0"/>
              <w:jc w:val="center"/>
              <w:rPr>
                <w:rFonts w:ascii="Arial" w:hAnsi="Arial" w:cs="Arial"/>
                <w:sz w:val="24"/>
                <w:szCs w:val="24"/>
              </w:rPr>
            </w:pPr>
          </w:p>
        </w:tc>
        <w:tc>
          <w:tcPr>
            <w:tcW w:w="3727" w:type="dxa"/>
            <w:shd w:val="clear" w:color="auto" w:fill="B8CCE4"/>
            <w:vAlign w:val="center"/>
          </w:tcPr>
          <w:p w:rsidR="00FC1DFC" w:rsidRPr="00CA6276" w:rsidRDefault="00FC1DFC" w:rsidP="00FC1DFC">
            <w:pPr>
              <w:spacing w:after="0"/>
              <w:rPr>
                <w:rFonts w:ascii="Arial" w:hAnsi="Arial" w:cs="Arial"/>
                <w:sz w:val="24"/>
                <w:szCs w:val="24"/>
              </w:rPr>
            </w:pPr>
            <w:r w:rsidRPr="00CA6276">
              <w:rPr>
                <w:rFonts w:ascii="Arial" w:hAnsi="Arial" w:cs="Arial"/>
              </w:rPr>
              <w:t>Examination Procedures</w:t>
            </w:r>
          </w:p>
        </w:tc>
        <w:tc>
          <w:tcPr>
            <w:tcW w:w="389" w:type="dxa"/>
            <w:shd w:val="clear" w:color="auto" w:fill="B8CCE4"/>
          </w:tcPr>
          <w:p w:rsidR="00FC1DFC" w:rsidRPr="00CA6276" w:rsidRDefault="00FC1DFC" w:rsidP="00C3748E">
            <w:pPr>
              <w:spacing w:after="0"/>
              <w:rPr>
                <w:rFonts w:ascii="Arial" w:hAnsi="Arial" w:cs="Arial"/>
                <w:sz w:val="24"/>
                <w:szCs w:val="24"/>
              </w:rPr>
            </w:pPr>
          </w:p>
          <w:p w:rsidR="00FC1DFC" w:rsidRPr="00CA6276" w:rsidRDefault="00FC1DFC" w:rsidP="00C3748E">
            <w:pPr>
              <w:spacing w:after="0"/>
              <w:rPr>
                <w:rFonts w:ascii="Arial" w:hAnsi="Arial" w:cs="Arial"/>
                <w:sz w:val="24"/>
                <w:szCs w:val="24"/>
              </w:rPr>
            </w:pPr>
            <w:r w:rsidRPr="00CA6276">
              <w:rPr>
                <w:rFonts w:ascii="Arial" w:hAnsi="Arial" w:cs="Arial"/>
                <w:sz w:val="24"/>
                <w:szCs w:val="24"/>
              </w:rPr>
              <w:t>Y</w:t>
            </w:r>
          </w:p>
        </w:tc>
        <w:tc>
          <w:tcPr>
            <w:tcW w:w="390" w:type="dxa"/>
            <w:shd w:val="clear" w:color="auto" w:fill="B8CCE4"/>
          </w:tcPr>
          <w:p w:rsidR="00FC1DFC" w:rsidRPr="00CA6276" w:rsidRDefault="00FC1DFC" w:rsidP="00C3748E">
            <w:pPr>
              <w:spacing w:after="0"/>
              <w:rPr>
                <w:rFonts w:ascii="Arial" w:hAnsi="Arial" w:cs="Arial"/>
                <w:sz w:val="24"/>
                <w:szCs w:val="24"/>
              </w:rPr>
            </w:pPr>
          </w:p>
          <w:p w:rsidR="00FC1DFC" w:rsidRPr="00CA6276" w:rsidRDefault="00FC1DFC" w:rsidP="00C3748E">
            <w:pPr>
              <w:spacing w:after="0"/>
              <w:rPr>
                <w:rFonts w:ascii="Arial" w:hAnsi="Arial" w:cs="Arial"/>
                <w:sz w:val="24"/>
                <w:szCs w:val="24"/>
              </w:rPr>
            </w:pPr>
            <w:r w:rsidRPr="00CA6276">
              <w:rPr>
                <w:rFonts w:ascii="Arial" w:hAnsi="Arial" w:cs="Arial"/>
                <w:sz w:val="24"/>
                <w:szCs w:val="24"/>
              </w:rPr>
              <w:t>N</w:t>
            </w:r>
          </w:p>
        </w:tc>
        <w:tc>
          <w:tcPr>
            <w:tcW w:w="4431" w:type="dxa"/>
            <w:shd w:val="clear" w:color="auto" w:fill="B8CCE4"/>
          </w:tcPr>
          <w:p w:rsidR="00FC1DFC" w:rsidRPr="00CA6276" w:rsidRDefault="00FC1DFC" w:rsidP="00C3748E">
            <w:pPr>
              <w:spacing w:after="0"/>
              <w:rPr>
                <w:rFonts w:ascii="Arial" w:hAnsi="Arial" w:cs="Arial"/>
                <w:sz w:val="24"/>
                <w:szCs w:val="24"/>
              </w:rPr>
            </w:pPr>
            <w:r w:rsidRPr="00CA6276">
              <w:rPr>
                <w:rFonts w:ascii="Arial" w:hAnsi="Arial" w:cs="Arial"/>
                <w:sz w:val="24"/>
                <w:szCs w:val="24"/>
              </w:rPr>
              <w:t xml:space="preserve">Examiner Notes [Document supporting evidence and note determinations and findings made] </w:t>
            </w:r>
          </w:p>
        </w:tc>
      </w:tr>
      <w:tr w:rsidR="00FC1DFC" w:rsidRPr="00CA6276" w:rsidTr="00C3748E">
        <w:tc>
          <w:tcPr>
            <w:tcW w:w="639" w:type="dxa"/>
          </w:tcPr>
          <w:p w:rsidR="00FC1DFC" w:rsidRPr="00CA6276" w:rsidRDefault="00FC1DFC" w:rsidP="00C3748E">
            <w:pPr>
              <w:spacing w:after="0"/>
              <w:jc w:val="center"/>
              <w:rPr>
                <w:rFonts w:ascii="Arial" w:hAnsi="Arial" w:cs="Arial"/>
                <w:sz w:val="24"/>
                <w:szCs w:val="24"/>
              </w:rPr>
            </w:pPr>
            <w:r w:rsidRPr="00CA6276">
              <w:rPr>
                <w:rFonts w:ascii="Arial" w:hAnsi="Arial" w:cs="Arial"/>
              </w:rPr>
              <w:t>1</w:t>
            </w:r>
          </w:p>
        </w:tc>
        <w:tc>
          <w:tcPr>
            <w:tcW w:w="3727" w:type="dxa"/>
          </w:tcPr>
          <w:p w:rsidR="00FC1DFC" w:rsidRPr="00CA6276" w:rsidRDefault="00FC1DFC" w:rsidP="00C3748E">
            <w:pPr>
              <w:widowControl w:val="0"/>
              <w:autoSpaceDE w:val="0"/>
              <w:autoSpaceDN w:val="0"/>
              <w:adjustRightInd w:val="0"/>
              <w:spacing w:after="0" w:line="240" w:lineRule="auto"/>
              <w:rPr>
                <w:rFonts w:ascii="Arial" w:hAnsi="Arial" w:cs="Arial"/>
                <w:sz w:val="24"/>
                <w:szCs w:val="24"/>
              </w:rPr>
            </w:pPr>
            <w:r w:rsidRPr="00CA6276">
              <w:rPr>
                <w:rFonts w:ascii="Arial" w:hAnsi="Arial" w:cs="Arial"/>
              </w:rPr>
              <w:t>Determine whether the RMLO has developed policies, procedures and processes to ensure compliance with OFAC.</w:t>
            </w:r>
          </w:p>
        </w:tc>
        <w:tc>
          <w:tcPr>
            <w:tcW w:w="389" w:type="dxa"/>
          </w:tcPr>
          <w:p w:rsidR="00FC1DFC" w:rsidRPr="00CA6276" w:rsidRDefault="00FC1DFC" w:rsidP="00C3748E">
            <w:pPr>
              <w:spacing w:after="0"/>
              <w:rPr>
                <w:rFonts w:ascii="Arial" w:hAnsi="Arial" w:cs="Arial"/>
                <w:sz w:val="24"/>
                <w:szCs w:val="24"/>
              </w:rPr>
            </w:pPr>
          </w:p>
        </w:tc>
        <w:tc>
          <w:tcPr>
            <w:tcW w:w="390" w:type="dxa"/>
          </w:tcPr>
          <w:p w:rsidR="00FC1DFC" w:rsidRPr="00CA6276" w:rsidRDefault="00FC1DFC" w:rsidP="00C3748E">
            <w:pPr>
              <w:spacing w:after="0"/>
              <w:rPr>
                <w:rFonts w:ascii="Arial" w:hAnsi="Arial" w:cs="Arial"/>
                <w:sz w:val="24"/>
                <w:szCs w:val="24"/>
              </w:rPr>
            </w:pPr>
          </w:p>
        </w:tc>
        <w:tc>
          <w:tcPr>
            <w:tcW w:w="4431" w:type="dxa"/>
          </w:tcPr>
          <w:p w:rsidR="00FC1DFC" w:rsidRPr="00CA6276" w:rsidRDefault="00FC1DFC" w:rsidP="00C3748E">
            <w:pPr>
              <w:spacing w:after="0"/>
              <w:rPr>
                <w:rFonts w:ascii="Arial" w:hAnsi="Arial" w:cs="Arial"/>
                <w:sz w:val="24"/>
                <w:szCs w:val="24"/>
              </w:rPr>
            </w:pPr>
          </w:p>
        </w:tc>
      </w:tr>
      <w:tr w:rsidR="00FC1DFC" w:rsidRPr="00CA6276" w:rsidTr="00C3748E">
        <w:tc>
          <w:tcPr>
            <w:tcW w:w="639" w:type="dxa"/>
          </w:tcPr>
          <w:p w:rsidR="00FC1DFC" w:rsidRPr="00CA6276" w:rsidRDefault="00FC1DFC" w:rsidP="00C3748E">
            <w:pPr>
              <w:spacing w:after="0"/>
              <w:jc w:val="center"/>
              <w:rPr>
                <w:rFonts w:ascii="Arial" w:hAnsi="Arial" w:cs="Arial"/>
                <w:sz w:val="24"/>
                <w:szCs w:val="24"/>
              </w:rPr>
            </w:pPr>
            <w:r w:rsidRPr="00CA6276">
              <w:rPr>
                <w:rFonts w:ascii="Arial" w:hAnsi="Arial" w:cs="Arial"/>
              </w:rPr>
              <w:t>2</w:t>
            </w:r>
          </w:p>
        </w:tc>
        <w:tc>
          <w:tcPr>
            <w:tcW w:w="3727" w:type="dxa"/>
          </w:tcPr>
          <w:p w:rsidR="00FC1DFC" w:rsidRPr="00CA6276" w:rsidRDefault="00FC1DFC" w:rsidP="00C3748E">
            <w:pPr>
              <w:widowControl w:val="0"/>
              <w:autoSpaceDE w:val="0"/>
              <w:autoSpaceDN w:val="0"/>
              <w:adjustRightInd w:val="0"/>
              <w:spacing w:after="0" w:line="240" w:lineRule="auto"/>
              <w:rPr>
                <w:rFonts w:ascii="Arial" w:hAnsi="Arial" w:cs="Arial"/>
                <w:sz w:val="24"/>
                <w:szCs w:val="24"/>
              </w:rPr>
            </w:pPr>
            <w:r w:rsidRPr="00CA6276">
              <w:rPr>
                <w:rFonts w:ascii="Arial" w:hAnsi="Arial" w:cs="Arial"/>
              </w:rPr>
              <w:t>Determine the adequacy of independent testing and follow-up procedures.</w:t>
            </w:r>
          </w:p>
        </w:tc>
        <w:tc>
          <w:tcPr>
            <w:tcW w:w="389" w:type="dxa"/>
          </w:tcPr>
          <w:p w:rsidR="00FC1DFC" w:rsidRPr="00CA6276" w:rsidRDefault="00FC1DFC" w:rsidP="00C3748E">
            <w:pPr>
              <w:spacing w:after="0"/>
              <w:rPr>
                <w:rFonts w:ascii="Arial" w:hAnsi="Arial" w:cs="Arial"/>
                <w:sz w:val="24"/>
                <w:szCs w:val="24"/>
              </w:rPr>
            </w:pPr>
          </w:p>
        </w:tc>
        <w:tc>
          <w:tcPr>
            <w:tcW w:w="390" w:type="dxa"/>
          </w:tcPr>
          <w:p w:rsidR="00FC1DFC" w:rsidRPr="00CA6276" w:rsidRDefault="00FC1DFC" w:rsidP="00C3748E">
            <w:pPr>
              <w:spacing w:after="0"/>
              <w:rPr>
                <w:rFonts w:ascii="Arial" w:hAnsi="Arial" w:cs="Arial"/>
                <w:sz w:val="24"/>
                <w:szCs w:val="24"/>
              </w:rPr>
            </w:pPr>
          </w:p>
        </w:tc>
        <w:tc>
          <w:tcPr>
            <w:tcW w:w="4431" w:type="dxa"/>
          </w:tcPr>
          <w:p w:rsidR="00FC1DFC" w:rsidRPr="00CA6276" w:rsidRDefault="00FC1DFC" w:rsidP="00C3748E">
            <w:pPr>
              <w:spacing w:after="0"/>
              <w:rPr>
                <w:rFonts w:ascii="Arial" w:hAnsi="Arial" w:cs="Arial"/>
                <w:sz w:val="24"/>
                <w:szCs w:val="24"/>
              </w:rPr>
            </w:pPr>
          </w:p>
        </w:tc>
      </w:tr>
      <w:tr w:rsidR="00FC1DFC" w:rsidRPr="00CA6276" w:rsidTr="00C3748E">
        <w:tc>
          <w:tcPr>
            <w:tcW w:w="639" w:type="dxa"/>
          </w:tcPr>
          <w:p w:rsidR="00FC1DFC" w:rsidRPr="00CA6276" w:rsidRDefault="00FC1DFC" w:rsidP="00C3748E">
            <w:pPr>
              <w:spacing w:after="0"/>
              <w:jc w:val="center"/>
              <w:rPr>
                <w:rFonts w:ascii="Arial" w:hAnsi="Arial" w:cs="Arial"/>
                <w:sz w:val="24"/>
                <w:szCs w:val="24"/>
              </w:rPr>
            </w:pPr>
            <w:r w:rsidRPr="00CA6276">
              <w:rPr>
                <w:rFonts w:ascii="Arial" w:hAnsi="Arial" w:cs="Arial"/>
              </w:rPr>
              <w:t>3</w:t>
            </w:r>
          </w:p>
        </w:tc>
        <w:tc>
          <w:tcPr>
            <w:tcW w:w="3727" w:type="dxa"/>
          </w:tcPr>
          <w:p w:rsidR="00FC1DFC" w:rsidRPr="00CA6276" w:rsidRDefault="00FC1DFC" w:rsidP="00B23EA2">
            <w:pPr>
              <w:widowControl w:val="0"/>
              <w:autoSpaceDE w:val="0"/>
              <w:autoSpaceDN w:val="0"/>
              <w:adjustRightInd w:val="0"/>
              <w:spacing w:after="0" w:line="240" w:lineRule="auto"/>
              <w:rPr>
                <w:rFonts w:ascii="Arial" w:hAnsi="Arial" w:cs="Arial"/>
              </w:rPr>
            </w:pPr>
            <w:r w:rsidRPr="00CA6276">
              <w:rPr>
                <w:rFonts w:ascii="Arial" w:hAnsi="Arial" w:cs="Arial"/>
              </w:rPr>
              <w:t xml:space="preserve">Sample new loans and evaluate how OFAC testing has been performed to ensure compliance. </w:t>
            </w:r>
          </w:p>
        </w:tc>
        <w:tc>
          <w:tcPr>
            <w:tcW w:w="389" w:type="dxa"/>
          </w:tcPr>
          <w:p w:rsidR="00FC1DFC" w:rsidRPr="00CA6276" w:rsidRDefault="00FC1DFC" w:rsidP="00C3748E">
            <w:pPr>
              <w:spacing w:after="0"/>
              <w:rPr>
                <w:rFonts w:ascii="Arial" w:hAnsi="Arial" w:cs="Arial"/>
                <w:sz w:val="24"/>
                <w:szCs w:val="24"/>
              </w:rPr>
            </w:pPr>
          </w:p>
        </w:tc>
        <w:tc>
          <w:tcPr>
            <w:tcW w:w="390" w:type="dxa"/>
          </w:tcPr>
          <w:p w:rsidR="00FC1DFC" w:rsidRPr="00CA6276" w:rsidRDefault="00FC1DFC" w:rsidP="00C3748E">
            <w:pPr>
              <w:spacing w:after="0"/>
              <w:rPr>
                <w:rFonts w:ascii="Arial" w:hAnsi="Arial" w:cs="Arial"/>
                <w:sz w:val="24"/>
                <w:szCs w:val="24"/>
              </w:rPr>
            </w:pPr>
          </w:p>
        </w:tc>
        <w:tc>
          <w:tcPr>
            <w:tcW w:w="4431" w:type="dxa"/>
          </w:tcPr>
          <w:p w:rsidR="00FC1DFC" w:rsidRPr="00CA6276" w:rsidRDefault="00FC1DFC" w:rsidP="00C3748E">
            <w:pPr>
              <w:spacing w:after="0"/>
              <w:rPr>
                <w:rFonts w:ascii="Arial" w:hAnsi="Arial" w:cs="Arial"/>
                <w:sz w:val="24"/>
                <w:szCs w:val="24"/>
              </w:rPr>
            </w:pPr>
          </w:p>
        </w:tc>
      </w:tr>
      <w:tr w:rsidR="00FC1DFC" w:rsidRPr="00CA6276" w:rsidTr="00C3748E">
        <w:tc>
          <w:tcPr>
            <w:tcW w:w="639" w:type="dxa"/>
          </w:tcPr>
          <w:p w:rsidR="00FC1DFC" w:rsidRPr="00CA6276" w:rsidRDefault="00FC1DFC" w:rsidP="00C3748E">
            <w:pPr>
              <w:spacing w:after="0"/>
              <w:jc w:val="center"/>
              <w:rPr>
                <w:rFonts w:ascii="Arial" w:hAnsi="Arial" w:cs="Arial"/>
                <w:sz w:val="24"/>
                <w:szCs w:val="24"/>
              </w:rPr>
            </w:pPr>
            <w:r w:rsidRPr="00CA6276">
              <w:rPr>
                <w:rFonts w:ascii="Arial" w:hAnsi="Arial" w:cs="Arial"/>
              </w:rPr>
              <w:t>4</w:t>
            </w:r>
          </w:p>
        </w:tc>
        <w:tc>
          <w:tcPr>
            <w:tcW w:w="3727" w:type="dxa"/>
          </w:tcPr>
          <w:p w:rsidR="00FC1DFC" w:rsidRPr="00CA6276" w:rsidRDefault="00FC1DFC" w:rsidP="00C3748E">
            <w:pPr>
              <w:spacing w:after="0"/>
              <w:rPr>
                <w:rFonts w:ascii="Arial" w:hAnsi="Arial" w:cs="Arial"/>
                <w:i/>
                <w:sz w:val="24"/>
                <w:szCs w:val="24"/>
              </w:rPr>
            </w:pPr>
            <w:r w:rsidRPr="00CA6276">
              <w:rPr>
                <w:rFonts w:ascii="Arial" w:hAnsi="Arial" w:cs="Arial"/>
                <w:szCs w:val="24"/>
              </w:rPr>
              <w:t>Review how the RMLO tests for OFAC and the blocking and rejection process.</w:t>
            </w:r>
          </w:p>
        </w:tc>
        <w:tc>
          <w:tcPr>
            <w:tcW w:w="389" w:type="dxa"/>
          </w:tcPr>
          <w:p w:rsidR="00FC1DFC" w:rsidRPr="00CA6276" w:rsidRDefault="00FC1DFC" w:rsidP="00C3748E">
            <w:pPr>
              <w:spacing w:after="0"/>
              <w:rPr>
                <w:rFonts w:ascii="Arial" w:hAnsi="Arial" w:cs="Arial"/>
                <w:sz w:val="24"/>
                <w:szCs w:val="24"/>
              </w:rPr>
            </w:pPr>
          </w:p>
        </w:tc>
        <w:tc>
          <w:tcPr>
            <w:tcW w:w="390" w:type="dxa"/>
          </w:tcPr>
          <w:p w:rsidR="00FC1DFC" w:rsidRPr="00CA6276" w:rsidRDefault="00FC1DFC" w:rsidP="00C3748E">
            <w:pPr>
              <w:spacing w:after="0"/>
              <w:rPr>
                <w:rFonts w:ascii="Arial" w:hAnsi="Arial" w:cs="Arial"/>
                <w:sz w:val="24"/>
                <w:szCs w:val="24"/>
              </w:rPr>
            </w:pPr>
          </w:p>
        </w:tc>
        <w:tc>
          <w:tcPr>
            <w:tcW w:w="4431" w:type="dxa"/>
          </w:tcPr>
          <w:p w:rsidR="00FC1DFC" w:rsidRPr="00CA6276" w:rsidRDefault="00FC1DFC" w:rsidP="00C3748E">
            <w:pPr>
              <w:spacing w:after="0"/>
              <w:rPr>
                <w:rFonts w:ascii="Arial" w:hAnsi="Arial" w:cs="Arial"/>
                <w:sz w:val="24"/>
                <w:szCs w:val="24"/>
              </w:rPr>
            </w:pPr>
          </w:p>
        </w:tc>
      </w:tr>
    </w:tbl>
    <w:p w:rsidR="0008572D" w:rsidRDefault="0008572D" w:rsidP="0008572D">
      <w:pPr>
        <w:pStyle w:val="Heading2"/>
        <w:rPr>
          <w:rFonts w:cs="Arial"/>
          <w:sz w:val="24"/>
          <w:szCs w:val="24"/>
        </w:rPr>
      </w:pPr>
    </w:p>
    <w:p w:rsidR="005B5345" w:rsidRPr="005B5345" w:rsidRDefault="005B5345" w:rsidP="005B5345">
      <w:pPr>
        <w:pStyle w:val="Heading1"/>
        <w:spacing w:before="0"/>
        <w:rPr>
          <w:rFonts w:cs="Arial"/>
          <w:color w:val="0070C0"/>
        </w:rPr>
      </w:pPr>
      <w:bookmarkStart w:id="23" w:name="_Toc335314206"/>
      <w:r>
        <w:rPr>
          <w:rFonts w:cs="Arial"/>
          <w:color w:val="0070C0"/>
        </w:rPr>
        <w:t>Definitions &amp; Acronyms</w:t>
      </w:r>
      <w:bookmarkEnd w:id="23"/>
      <w:r w:rsidRPr="00E44139">
        <w:rPr>
          <w:rFonts w:cs="Arial"/>
          <w:color w:val="0070C0"/>
        </w:rPr>
        <w:t xml:space="preserve"> </w:t>
      </w:r>
    </w:p>
    <w:p w:rsidR="0008572D" w:rsidRPr="0008572D" w:rsidRDefault="0008572D" w:rsidP="0008572D">
      <w:pPr>
        <w:pStyle w:val="Heading2"/>
        <w:rPr>
          <w:rFonts w:cs="Arial"/>
          <w:sz w:val="24"/>
          <w:szCs w:val="24"/>
        </w:rPr>
      </w:pPr>
      <w:bookmarkStart w:id="24" w:name="_Toc335314207"/>
      <w:r w:rsidRPr="0008572D">
        <w:rPr>
          <w:rFonts w:cs="Arial"/>
          <w:sz w:val="24"/>
          <w:szCs w:val="24"/>
        </w:rPr>
        <w:t>Definitions</w:t>
      </w:r>
      <w:bookmarkEnd w:id="24"/>
    </w:p>
    <w:p w:rsidR="0008572D" w:rsidRPr="0008572D" w:rsidRDefault="0008572D" w:rsidP="0008572D">
      <w:pPr>
        <w:rPr>
          <w:rFonts w:ascii="Arial" w:hAnsi="Arial" w:cs="Arial"/>
          <w:b/>
          <w:sz w:val="24"/>
          <w:szCs w:val="24"/>
        </w:rPr>
      </w:pPr>
    </w:p>
    <w:p w:rsidR="00B23EA2" w:rsidRDefault="0008572D" w:rsidP="0008572D">
      <w:pPr>
        <w:autoSpaceDE w:val="0"/>
        <w:autoSpaceDN w:val="0"/>
        <w:adjustRightInd w:val="0"/>
        <w:rPr>
          <w:rFonts w:ascii="Arial" w:hAnsi="Arial" w:cs="Arial"/>
          <w:sz w:val="24"/>
          <w:szCs w:val="24"/>
        </w:rPr>
      </w:pPr>
      <w:r w:rsidRPr="0008572D">
        <w:rPr>
          <w:rFonts w:ascii="Arial" w:hAnsi="Arial" w:cs="Arial"/>
          <w:b/>
          <w:sz w:val="24"/>
          <w:szCs w:val="24"/>
        </w:rPr>
        <w:t>Financial Institution</w:t>
      </w:r>
      <w:r w:rsidRPr="0008572D">
        <w:rPr>
          <w:rFonts w:ascii="Arial" w:hAnsi="Arial" w:cs="Arial"/>
          <w:sz w:val="24"/>
          <w:szCs w:val="24"/>
        </w:rPr>
        <w:t xml:space="preserve"> – Defined under BSA 31 USC 5312(a)(2) means</w:t>
      </w:r>
      <w:r w:rsidR="00B23EA2">
        <w:rPr>
          <w:rFonts w:ascii="Arial" w:hAnsi="Arial" w:cs="Arial"/>
          <w:sz w:val="24"/>
          <w:szCs w:val="24"/>
        </w:rPr>
        <w:t>:</w:t>
      </w:r>
    </w:p>
    <w:p w:rsidR="00B23EA2" w:rsidRDefault="0008572D" w:rsidP="00B23EA2">
      <w:pPr>
        <w:autoSpaceDE w:val="0"/>
        <w:autoSpaceDN w:val="0"/>
        <w:adjustRightInd w:val="0"/>
        <w:spacing w:after="0"/>
        <w:ind w:left="360"/>
        <w:rPr>
          <w:rFonts w:ascii="Arial" w:hAnsi="Arial" w:cs="Arial"/>
          <w:sz w:val="24"/>
          <w:szCs w:val="24"/>
        </w:rPr>
      </w:pPr>
      <w:r w:rsidRPr="0008572D">
        <w:rPr>
          <w:rFonts w:ascii="Arial" w:hAnsi="Arial" w:cs="Arial"/>
          <w:sz w:val="24"/>
          <w:szCs w:val="24"/>
        </w:rPr>
        <w:t>(A) an insured bank (as defined in section 3(h) of the Federal Deposit Insu</w:t>
      </w:r>
      <w:r w:rsidR="00B23EA2">
        <w:rPr>
          <w:rFonts w:ascii="Arial" w:hAnsi="Arial" w:cs="Arial"/>
          <w:sz w:val="24"/>
          <w:szCs w:val="24"/>
        </w:rPr>
        <w:t>rance Act (12 U.S.C. 1813(h)));</w:t>
      </w:r>
    </w:p>
    <w:p w:rsidR="00B23EA2" w:rsidRDefault="0008572D" w:rsidP="00B23EA2">
      <w:pPr>
        <w:autoSpaceDE w:val="0"/>
        <w:autoSpaceDN w:val="0"/>
        <w:adjustRightInd w:val="0"/>
        <w:spacing w:after="0"/>
        <w:ind w:left="360"/>
        <w:rPr>
          <w:rFonts w:ascii="Arial" w:hAnsi="Arial" w:cs="Arial"/>
          <w:sz w:val="24"/>
          <w:szCs w:val="24"/>
        </w:rPr>
      </w:pPr>
      <w:r w:rsidRPr="0008572D">
        <w:rPr>
          <w:rFonts w:ascii="Arial" w:hAnsi="Arial" w:cs="Arial"/>
          <w:sz w:val="24"/>
          <w:szCs w:val="24"/>
        </w:rPr>
        <w:t>(B) a co</w:t>
      </w:r>
      <w:r w:rsidR="00B23EA2">
        <w:rPr>
          <w:rFonts w:ascii="Arial" w:hAnsi="Arial" w:cs="Arial"/>
          <w:sz w:val="24"/>
          <w:szCs w:val="24"/>
        </w:rPr>
        <w:t>mmercial bank or trust company;</w:t>
      </w:r>
    </w:p>
    <w:p w:rsidR="00B23EA2" w:rsidRDefault="00B23EA2" w:rsidP="00B23EA2">
      <w:pPr>
        <w:autoSpaceDE w:val="0"/>
        <w:autoSpaceDN w:val="0"/>
        <w:adjustRightInd w:val="0"/>
        <w:spacing w:after="0"/>
        <w:ind w:left="360"/>
        <w:rPr>
          <w:rFonts w:ascii="Arial" w:hAnsi="Arial" w:cs="Arial"/>
          <w:sz w:val="24"/>
          <w:szCs w:val="24"/>
        </w:rPr>
      </w:pPr>
      <w:r>
        <w:rPr>
          <w:rFonts w:ascii="Arial" w:hAnsi="Arial" w:cs="Arial"/>
          <w:sz w:val="24"/>
          <w:szCs w:val="24"/>
        </w:rPr>
        <w:t>(C) a private banker;</w:t>
      </w:r>
    </w:p>
    <w:p w:rsidR="00B23EA2" w:rsidRDefault="0008572D" w:rsidP="00B23EA2">
      <w:pPr>
        <w:autoSpaceDE w:val="0"/>
        <w:autoSpaceDN w:val="0"/>
        <w:adjustRightInd w:val="0"/>
        <w:spacing w:after="0"/>
        <w:ind w:left="360"/>
        <w:rPr>
          <w:rFonts w:ascii="Arial" w:hAnsi="Arial" w:cs="Arial"/>
          <w:sz w:val="24"/>
          <w:szCs w:val="24"/>
        </w:rPr>
      </w:pPr>
      <w:r w:rsidRPr="0008572D">
        <w:rPr>
          <w:rFonts w:ascii="Arial" w:hAnsi="Arial" w:cs="Arial"/>
          <w:sz w:val="24"/>
          <w:szCs w:val="24"/>
        </w:rPr>
        <w:t>(D) an agency or branch of a for</w:t>
      </w:r>
      <w:r w:rsidR="00B23EA2">
        <w:rPr>
          <w:rFonts w:ascii="Arial" w:hAnsi="Arial" w:cs="Arial"/>
          <w:sz w:val="24"/>
          <w:szCs w:val="24"/>
        </w:rPr>
        <w:t>eign bank in the United States;</w:t>
      </w:r>
    </w:p>
    <w:p w:rsidR="00B23EA2" w:rsidRDefault="00B23EA2" w:rsidP="00B23EA2">
      <w:pPr>
        <w:autoSpaceDE w:val="0"/>
        <w:autoSpaceDN w:val="0"/>
        <w:adjustRightInd w:val="0"/>
        <w:spacing w:after="0"/>
        <w:ind w:left="360"/>
        <w:rPr>
          <w:rFonts w:ascii="Arial" w:hAnsi="Arial" w:cs="Arial"/>
          <w:sz w:val="24"/>
          <w:szCs w:val="24"/>
        </w:rPr>
      </w:pPr>
      <w:r>
        <w:rPr>
          <w:rFonts w:ascii="Arial" w:hAnsi="Arial" w:cs="Arial"/>
          <w:sz w:val="24"/>
          <w:szCs w:val="24"/>
        </w:rPr>
        <w:t>(E) any credit union;</w:t>
      </w:r>
    </w:p>
    <w:p w:rsidR="00B23EA2" w:rsidRDefault="00B23EA2" w:rsidP="00B23EA2">
      <w:pPr>
        <w:autoSpaceDE w:val="0"/>
        <w:autoSpaceDN w:val="0"/>
        <w:adjustRightInd w:val="0"/>
        <w:spacing w:after="0"/>
        <w:ind w:left="360"/>
        <w:rPr>
          <w:rFonts w:ascii="Arial" w:hAnsi="Arial" w:cs="Arial"/>
          <w:sz w:val="24"/>
          <w:szCs w:val="24"/>
        </w:rPr>
      </w:pPr>
      <w:r>
        <w:rPr>
          <w:rFonts w:ascii="Arial" w:hAnsi="Arial" w:cs="Arial"/>
          <w:sz w:val="24"/>
          <w:szCs w:val="24"/>
        </w:rPr>
        <w:t>(F) a thrift institution;</w:t>
      </w:r>
    </w:p>
    <w:p w:rsidR="00B23EA2" w:rsidRDefault="0008572D" w:rsidP="00B23EA2">
      <w:pPr>
        <w:autoSpaceDE w:val="0"/>
        <w:autoSpaceDN w:val="0"/>
        <w:adjustRightInd w:val="0"/>
        <w:spacing w:after="0"/>
        <w:ind w:left="360"/>
        <w:rPr>
          <w:rFonts w:ascii="Arial" w:hAnsi="Arial" w:cs="Arial"/>
          <w:sz w:val="24"/>
          <w:szCs w:val="24"/>
        </w:rPr>
      </w:pPr>
      <w:r w:rsidRPr="0008572D">
        <w:rPr>
          <w:rFonts w:ascii="Arial" w:hAnsi="Arial" w:cs="Arial"/>
          <w:sz w:val="24"/>
          <w:szCs w:val="24"/>
        </w:rPr>
        <w:t>(G) a broker or dealer registered with the Securities and Exchange Commission under the Securities Exchange Act o</w:t>
      </w:r>
      <w:r w:rsidR="00B23EA2">
        <w:rPr>
          <w:rFonts w:ascii="Arial" w:hAnsi="Arial" w:cs="Arial"/>
          <w:sz w:val="24"/>
          <w:szCs w:val="24"/>
        </w:rPr>
        <w:t>f 1934 (15 U.S.C. 78a et seq.);</w:t>
      </w:r>
    </w:p>
    <w:p w:rsidR="00B23EA2" w:rsidRDefault="0008572D" w:rsidP="00B23EA2">
      <w:pPr>
        <w:autoSpaceDE w:val="0"/>
        <w:autoSpaceDN w:val="0"/>
        <w:adjustRightInd w:val="0"/>
        <w:spacing w:after="0"/>
        <w:ind w:left="360"/>
        <w:rPr>
          <w:rFonts w:ascii="Arial" w:hAnsi="Arial" w:cs="Arial"/>
          <w:sz w:val="24"/>
          <w:szCs w:val="24"/>
        </w:rPr>
      </w:pPr>
      <w:r w:rsidRPr="0008572D">
        <w:rPr>
          <w:rFonts w:ascii="Arial" w:hAnsi="Arial" w:cs="Arial"/>
          <w:sz w:val="24"/>
          <w:szCs w:val="24"/>
        </w:rPr>
        <w:t>(H) a broker or deale</w:t>
      </w:r>
      <w:r w:rsidR="00B23EA2">
        <w:rPr>
          <w:rFonts w:ascii="Arial" w:hAnsi="Arial" w:cs="Arial"/>
          <w:sz w:val="24"/>
          <w:szCs w:val="24"/>
        </w:rPr>
        <w:t>r in securities or commodities;</w:t>
      </w:r>
    </w:p>
    <w:p w:rsidR="00B23EA2" w:rsidRDefault="0008572D" w:rsidP="00B23EA2">
      <w:pPr>
        <w:autoSpaceDE w:val="0"/>
        <w:autoSpaceDN w:val="0"/>
        <w:adjustRightInd w:val="0"/>
        <w:spacing w:after="0"/>
        <w:ind w:left="360"/>
        <w:rPr>
          <w:rFonts w:ascii="Arial" w:hAnsi="Arial" w:cs="Arial"/>
          <w:sz w:val="24"/>
          <w:szCs w:val="24"/>
        </w:rPr>
      </w:pPr>
      <w:r w:rsidRPr="0008572D">
        <w:rPr>
          <w:rFonts w:ascii="Arial" w:hAnsi="Arial" w:cs="Arial"/>
          <w:sz w:val="24"/>
          <w:szCs w:val="24"/>
        </w:rPr>
        <w:t>(I) an investmen</w:t>
      </w:r>
      <w:r w:rsidR="00B23EA2">
        <w:rPr>
          <w:rFonts w:ascii="Arial" w:hAnsi="Arial" w:cs="Arial"/>
          <w:sz w:val="24"/>
          <w:szCs w:val="24"/>
        </w:rPr>
        <w:t>t banker or investment company;</w:t>
      </w:r>
    </w:p>
    <w:p w:rsidR="00B23EA2" w:rsidRDefault="0008572D" w:rsidP="00B23EA2">
      <w:pPr>
        <w:autoSpaceDE w:val="0"/>
        <w:autoSpaceDN w:val="0"/>
        <w:adjustRightInd w:val="0"/>
        <w:spacing w:after="0"/>
        <w:ind w:left="360"/>
        <w:rPr>
          <w:rFonts w:ascii="Arial" w:hAnsi="Arial" w:cs="Arial"/>
          <w:sz w:val="24"/>
          <w:szCs w:val="24"/>
        </w:rPr>
      </w:pPr>
      <w:r w:rsidRPr="0008572D">
        <w:rPr>
          <w:rFonts w:ascii="Arial" w:hAnsi="Arial" w:cs="Arial"/>
          <w:sz w:val="24"/>
          <w:szCs w:val="24"/>
        </w:rPr>
        <w:t>(J) a currency exchange;</w:t>
      </w:r>
    </w:p>
    <w:p w:rsidR="00B23EA2" w:rsidRDefault="0008572D" w:rsidP="00B23EA2">
      <w:pPr>
        <w:autoSpaceDE w:val="0"/>
        <w:autoSpaceDN w:val="0"/>
        <w:adjustRightInd w:val="0"/>
        <w:spacing w:after="0"/>
        <w:ind w:left="360"/>
        <w:rPr>
          <w:rFonts w:ascii="Arial" w:hAnsi="Arial" w:cs="Arial"/>
          <w:sz w:val="24"/>
          <w:szCs w:val="24"/>
        </w:rPr>
      </w:pPr>
      <w:r w:rsidRPr="0008572D">
        <w:rPr>
          <w:rFonts w:ascii="Arial" w:hAnsi="Arial" w:cs="Arial"/>
          <w:sz w:val="24"/>
          <w:szCs w:val="24"/>
        </w:rPr>
        <w:t xml:space="preserve">(K) an issuer, redeemer, or cashier of travelers’ checks, checks, money </w:t>
      </w:r>
      <w:r w:rsidR="00B23EA2">
        <w:rPr>
          <w:rFonts w:ascii="Arial" w:hAnsi="Arial" w:cs="Arial"/>
          <w:sz w:val="24"/>
          <w:szCs w:val="24"/>
        </w:rPr>
        <w:t>orders, or similar instruments;</w:t>
      </w:r>
    </w:p>
    <w:p w:rsidR="00B23EA2" w:rsidRDefault="0008572D" w:rsidP="00B23EA2">
      <w:pPr>
        <w:autoSpaceDE w:val="0"/>
        <w:autoSpaceDN w:val="0"/>
        <w:adjustRightInd w:val="0"/>
        <w:spacing w:after="0"/>
        <w:ind w:left="360"/>
        <w:rPr>
          <w:rFonts w:ascii="Arial" w:hAnsi="Arial" w:cs="Arial"/>
          <w:sz w:val="24"/>
          <w:szCs w:val="24"/>
        </w:rPr>
      </w:pPr>
      <w:r w:rsidRPr="0008572D">
        <w:rPr>
          <w:rFonts w:ascii="Arial" w:hAnsi="Arial" w:cs="Arial"/>
          <w:sz w:val="24"/>
          <w:szCs w:val="24"/>
        </w:rPr>
        <w:t>(L) an op</w:t>
      </w:r>
      <w:r w:rsidR="00B23EA2">
        <w:rPr>
          <w:rFonts w:ascii="Arial" w:hAnsi="Arial" w:cs="Arial"/>
          <w:sz w:val="24"/>
          <w:szCs w:val="24"/>
        </w:rPr>
        <w:t>erator of a credit card system;</w:t>
      </w:r>
    </w:p>
    <w:p w:rsidR="00B23EA2" w:rsidRDefault="00B23EA2" w:rsidP="00B23EA2">
      <w:pPr>
        <w:autoSpaceDE w:val="0"/>
        <w:autoSpaceDN w:val="0"/>
        <w:adjustRightInd w:val="0"/>
        <w:spacing w:after="0"/>
        <w:ind w:left="360"/>
        <w:rPr>
          <w:rFonts w:ascii="Arial" w:hAnsi="Arial" w:cs="Arial"/>
          <w:sz w:val="24"/>
          <w:szCs w:val="24"/>
        </w:rPr>
      </w:pPr>
      <w:r>
        <w:rPr>
          <w:rFonts w:ascii="Arial" w:hAnsi="Arial" w:cs="Arial"/>
          <w:sz w:val="24"/>
          <w:szCs w:val="24"/>
        </w:rPr>
        <w:t>(M) an insurance company;</w:t>
      </w:r>
    </w:p>
    <w:p w:rsidR="00B23EA2" w:rsidRDefault="0008572D" w:rsidP="00B23EA2">
      <w:pPr>
        <w:autoSpaceDE w:val="0"/>
        <w:autoSpaceDN w:val="0"/>
        <w:adjustRightInd w:val="0"/>
        <w:spacing w:after="0"/>
        <w:ind w:left="360"/>
        <w:rPr>
          <w:rFonts w:ascii="Arial" w:hAnsi="Arial" w:cs="Arial"/>
          <w:sz w:val="24"/>
          <w:szCs w:val="24"/>
        </w:rPr>
      </w:pPr>
      <w:r w:rsidRPr="0008572D">
        <w:rPr>
          <w:rFonts w:ascii="Arial" w:hAnsi="Arial" w:cs="Arial"/>
          <w:sz w:val="24"/>
          <w:szCs w:val="24"/>
        </w:rPr>
        <w:t>(N) a dealer in prec</w:t>
      </w:r>
      <w:r w:rsidR="00B23EA2">
        <w:rPr>
          <w:rFonts w:ascii="Arial" w:hAnsi="Arial" w:cs="Arial"/>
          <w:sz w:val="24"/>
          <w:szCs w:val="24"/>
        </w:rPr>
        <w:t>ious metals, stones, or jewels;</w:t>
      </w:r>
    </w:p>
    <w:p w:rsidR="00B23EA2" w:rsidRDefault="00B23EA2" w:rsidP="00B23EA2">
      <w:pPr>
        <w:autoSpaceDE w:val="0"/>
        <w:autoSpaceDN w:val="0"/>
        <w:adjustRightInd w:val="0"/>
        <w:spacing w:after="0"/>
        <w:ind w:left="360"/>
        <w:rPr>
          <w:rFonts w:ascii="Arial" w:hAnsi="Arial" w:cs="Arial"/>
          <w:sz w:val="24"/>
          <w:szCs w:val="24"/>
        </w:rPr>
      </w:pPr>
      <w:r>
        <w:rPr>
          <w:rFonts w:ascii="Arial" w:hAnsi="Arial" w:cs="Arial"/>
          <w:sz w:val="24"/>
          <w:szCs w:val="24"/>
        </w:rPr>
        <w:lastRenderedPageBreak/>
        <w:t>(O) a pawnbroker;</w:t>
      </w:r>
    </w:p>
    <w:p w:rsidR="00B23EA2" w:rsidRDefault="0008572D" w:rsidP="00B23EA2">
      <w:pPr>
        <w:autoSpaceDE w:val="0"/>
        <w:autoSpaceDN w:val="0"/>
        <w:adjustRightInd w:val="0"/>
        <w:spacing w:after="0"/>
        <w:ind w:left="360"/>
        <w:rPr>
          <w:rFonts w:ascii="Arial" w:hAnsi="Arial" w:cs="Arial"/>
          <w:sz w:val="24"/>
          <w:szCs w:val="24"/>
        </w:rPr>
      </w:pPr>
      <w:r w:rsidRPr="0008572D">
        <w:rPr>
          <w:rFonts w:ascii="Arial" w:hAnsi="Arial" w:cs="Arial"/>
          <w:sz w:val="24"/>
          <w:szCs w:val="24"/>
        </w:rPr>
        <w:t>(P) a loa</w:t>
      </w:r>
      <w:r w:rsidR="00B23EA2">
        <w:rPr>
          <w:rFonts w:ascii="Arial" w:hAnsi="Arial" w:cs="Arial"/>
          <w:sz w:val="24"/>
          <w:szCs w:val="24"/>
        </w:rPr>
        <w:t>n or finance company;</w:t>
      </w:r>
    </w:p>
    <w:p w:rsidR="00B23EA2" w:rsidRDefault="00B23EA2" w:rsidP="00B23EA2">
      <w:pPr>
        <w:autoSpaceDE w:val="0"/>
        <w:autoSpaceDN w:val="0"/>
        <w:adjustRightInd w:val="0"/>
        <w:spacing w:after="0"/>
        <w:ind w:left="360"/>
        <w:rPr>
          <w:rFonts w:ascii="Arial" w:hAnsi="Arial" w:cs="Arial"/>
          <w:sz w:val="24"/>
          <w:szCs w:val="24"/>
        </w:rPr>
      </w:pPr>
      <w:r>
        <w:rPr>
          <w:rFonts w:ascii="Arial" w:hAnsi="Arial" w:cs="Arial"/>
          <w:sz w:val="24"/>
          <w:szCs w:val="24"/>
        </w:rPr>
        <w:t>(Q) a travel agency;</w:t>
      </w:r>
    </w:p>
    <w:p w:rsidR="00B23EA2" w:rsidRDefault="0008572D" w:rsidP="00B23EA2">
      <w:pPr>
        <w:autoSpaceDE w:val="0"/>
        <w:autoSpaceDN w:val="0"/>
        <w:adjustRightInd w:val="0"/>
        <w:spacing w:after="0"/>
        <w:ind w:left="360"/>
        <w:rPr>
          <w:rFonts w:ascii="Arial" w:hAnsi="Arial" w:cs="Arial"/>
          <w:sz w:val="24"/>
          <w:szCs w:val="24"/>
        </w:rPr>
      </w:pPr>
      <w:r w:rsidRPr="0008572D">
        <w:rPr>
          <w:rFonts w:ascii="Arial" w:hAnsi="Arial" w:cs="Arial"/>
          <w:sz w:val="24"/>
          <w:szCs w:val="24"/>
        </w:rPr>
        <w:t>(R) a licensed sender of money or any other person who engages as a business in the transmission of funds, including any person who engages as a business in an informal money transfer system or any network of people who engage as a business in facilitating the transfer of money domestically or internationally outside of the conventional</w:t>
      </w:r>
      <w:r w:rsidR="00B23EA2">
        <w:rPr>
          <w:rFonts w:ascii="Arial" w:hAnsi="Arial" w:cs="Arial"/>
          <w:sz w:val="24"/>
          <w:szCs w:val="24"/>
        </w:rPr>
        <w:t xml:space="preserve"> financial institutions system;</w:t>
      </w:r>
    </w:p>
    <w:p w:rsidR="00B23EA2" w:rsidRDefault="00B23EA2" w:rsidP="00B23EA2">
      <w:pPr>
        <w:autoSpaceDE w:val="0"/>
        <w:autoSpaceDN w:val="0"/>
        <w:adjustRightInd w:val="0"/>
        <w:spacing w:after="0"/>
        <w:ind w:left="360"/>
        <w:rPr>
          <w:rFonts w:ascii="Arial" w:hAnsi="Arial" w:cs="Arial"/>
          <w:sz w:val="24"/>
          <w:szCs w:val="24"/>
        </w:rPr>
      </w:pPr>
      <w:r>
        <w:rPr>
          <w:rFonts w:ascii="Arial" w:hAnsi="Arial" w:cs="Arial"/>
          <w:sz w:val="24"/>
          <w:szCs w:val="24"/>
        </w:rPr>
        <w:t>(S) a telegraph company;</w:t>
      </w:r>
    </w:p>
    <w:p w:rsidR="00B23EA2" w:rsidRDefault="0008572D" w:rsidP="00B23EA2">
      <w:pPr>
        <w:autoSpaceDE w:val="0"/>
        <w:autoSpaceDN w:val="0"/>
        <w:adjustRightInd w:val="0"/>
        <w:spacing w:after="0"/>
        <w:ind w:left="360"/>
        <w:rPr>
          <w:rFonts w:ascii="Arial" w:hAnsi="Arial" w:cs="Arial"/>
          <w:sz w:val="24"/>
          <w:szCs w:val="24"/>
        </w:rPr>
      </w:pPr>
      <w:r w:rsidRPr="0008572D">
        <w:rPr>
          <w:rFonts w:ascii="Arial" w:hAnsi="Arial" w:cs="Arial"/>
          <w:sz w:val="24"/>
          <w:szCs w:val="24"/>
        </w:rPr>
        <w:t>(T) a business engaged in vehicle sales, including automobile, airplane, a</w:t>
      </w:r>
      <w:r w:rsidR="00B23EA2">
        <w:rPr>
          <w:rFonts w:ascii="Arial" w:hAnsi="Arial" w:cs="Arial"/>
          <w:sz w:val="24"/>
          <w:szCs w:val="24"/>
        </w:rPr>
        <w:t>nd boat sales;</w:t>
      </w:r>
    </w:p>
    <w:p w:rsidR="00B23EA2" w:rsidRDefault="0008572D" w:rsidP="00B23EA2">
      <w:pPr>
        <w:autoSpaceDE w:val="0"/>
        <w:autoSpaceDN w:val="0"/>
        <w:adjustRightInd w:val="0"/>
        <w:spacing w:after="0"/>
        <w:ind w:left="360"/>
        <w:rPr>
          <w:rFonts w:ascii="Arial" w:hAnsi="Arial" w:cs="Arial"/>
          <w:sz w:val="24"/>
          <w:szCs w:val="24"/>
        </w:rPr>
      </w:pPr>
      <w:r w:rsidRPr="0008572D">
        <w:rPr>
          <w:rFonts w:ascii="Arial" w:hAnsi="Arial" w:cs="Arial"/>
          <w:sz w:val="24"/>
          <w:szCs w:val="24"/>
        </w:rPr>
        <w:t>(U) persons involved in real e</w:t>
      </w:r>
      <w:r w:rsidR="00B23EA2">
        <w:rPr>
          <w:rFonts w:ascii="Arial" w:hAnsi="Arial" w:cs="Arial"/>
          <w:sz w:val="24"/>
          <w:szCs w:val="24"/>
        </w:rPr>
        <w:t>state closings and settlements;</w:t>
      </w:r>
    </w:p>
    <w:p w:rsidR="00B23EA2" w:rsidRDefault="0008572D" w:rsidP="00B23EA2">
      <w:pPr>
        <w:autoSpaceDE w:val="0"/>
        <w:autoSpaceDN w:val="0"/>
        <w:adjustRightInd w:val="0"/>
        <w:spacing w:after="0"/>
        <w:ind w:left="360"/>
        <w:rPr>
          <w:rFonts w:ascii="Arial" w:hAnsi="Arial" w:cs="Arial"/>
          <w:sz w:val="24"/>
          <w:szCs w:val="24"/>
        </w:rPr>
      </w:pPr>
      <w:r w:rsidRPr="0008572D">
        <w:rPr>
          <w:rFonts w:ascii="Arial" w:hAnsi="Arial" w:cs="Arial"/>
          <w:sz w:val="24"/>
          <w:szCs w:val="24"/>
        </w:rPr>
        <w:t>(V) th</w:t>
      </w:r>
      <w:r w:rsidR="00B23EA2">
        <w:rPr>
          <w:rFonts w:ascii="Arial" w:hAnsi="Arial" w:cs="Arial"/>
          <w:sz w:val="24"/>
          <w:szCs w:val="24"/>
        </w:rPr>
        <w:t>e United States Postal Service;</w:t>
      </w:r>
    </w:p>
    <w:p w:rsidR="00B23EA2" w:rsidRDefault="0008572D" w:rsidP="00B23EA2">
      <w:pPr>
        <w:autoSpaceDE w:val="0"/>
        <w:autoSpaceDN w:val="0"/>
        <w:adjustRightInd w:val="0"/>
        <w:spacing w:after="0"/>
        <w:ind w:left="360"/>
        <w:rPr>
          <w:rFonts w:ascii="Arial" w:hAnsi="Arial" w:cs="Arial"/>
          <w:sz w:val="24"/>
          <w:szCs w:val="24"/>
        </w:rPr>
      </w:pPr>
      <w:r w:rsidRPr="0008572D">
        <w:rPr>
          <w:rFonts w:ascii="Arial" w:hAnsi="Arial" w:cs="Arial"/>
          <w:sz w:val="24"/>
          <w:szCs w:val="24"/>
        </w:rPr>
        <w:t xml:space="preserve">(W) an agency of the United States Government or of a State or local government carrying out a duty or power of a business described in this </w:t>
      </w:r>
      <w:r w:rsidR="00B23EA2">
        <w:rPr>
          <w:rFonts w:ascii="Arial" w:hAnsi="Arial" w:cs="Arial"/>
          <w:sz w:val="24"/>
          <w:szCs w:val="24"/>
        </w:rPr>
        <w:t>paragraph;</w:t>
      </w:r>
    </w:p>
    <w:p w:rsidR="00B23EA2" w:rsidRDefault="0008572D" w:rsidP="00B23EA2">
      <w:pPr>
        <w:autoSpaceDE w:val="0"/>
        <w:autoSpaceDN w:val="0"/>
        <w:adjustRightInd w:val="0"/>
        <w:spacing w:after="0"/>
        <w:ind w:left="360"/>
        <w:rPr>
          <w:rFonts w:ascii="Arial" w:hAnsi="Arial" w:cs="Arial"/>
          <w:sz w:val="24"/>
          <w:szCs w:val="24"/>
        </w:rPr>
      </w:pPr>
      <w:r w:rsidRPr="0008572D">
        <w:rPr>
          <w:rFonts w:ascii="Arial" w:hAnsi="Arial" w:cs="Arial"/>
          <w:sz w:val="24"/>
          <w:szCs w:val="24"/>
        </w:rPr>
        <w:t>(X) a casino, gambling casino, or gaming establishment with an annual gaming revenue of more than $1,000,000 which— (i) is licensed as a casino, gambling casino, or gaming establishment under the laws of any State or any political subdivision of any State; or (ii) is an Indian gaming operation conducted under or pursuant to the Indian Gaming Regulatory Act other than an operation which is limited to class I gaming  (as define</w:t>
      </w:r>
      <w:r w:rsidR="00B23EA2">
        <w:rPr>
          <w:rFonts w:ascii="Arial" w:hAnsi="Arial" w:cs="Arial"/>
          <w:sz w:val="24"/>
          <w:szCs w:val="24"/>
        </w:rPr>
        <w:t>d in section 4(6) of such Act);</w:t>
      </w:r>
    </w:p>
    <w:p w:rsidR="00B23EA2" w:rsidRDefault="0008572D" w:rsidP="00B23EA2">
      <w:pPr>
        <w:autoSpaceDE w:val="0"/>
        <w:autoSpaceDN w:val="0"/>
        <w:adjustRightInd w:val="0"/>
        <w:spacing w:after="0"/>
        <w:ind w:left="360"/>
        <w:rPr>
          <w:rFonts w:ascii="Arial" w:hAnsi="Arial" w:cs="Arial"/>
          <w:sz w:val="24"/>
          <w:szCs w:val="24"/>
        </w:rPr>
      </w:pPr>
      <w:r w:rsidRPr="0008572D">
        <w:rPr>
          <w:rFonts w:ascii="Arial" w:hAnsi="Arial" w:cs="Arial"/>
          <w:sz w:val="24"/>
          <w:szCs w:val="24"/>
        </w:rPr>
        <w:t>(Y) any business or agency which engages in any activity which the Secretary of the Treasury determines, by regulation, to be an activity which is similar to, related to, or a substitute for any activity in which any business described in this paragr</w:t>
      </w:r>
      <w:r w:rsidR="00B23EA2">
        <w:rPr>
          <w:rFonts w:ascii="Arial" w:hAnsi="Arial" w:cs="Arial"/>
          <w:sz w:val="24"/>
          <w:szCs w:val="24"/>
        </w:rPr>
        <w:t>aph is authorized to engage; or</w:t>
      </w:r>
    </w:p>
    <w:p w:rsidR="0008572D" w:rsidRPr="0008572D" w:rsidRDefault="0008572D" w:rsidP="00B23EA2">
      <w:pPr>
        <w:autoSpaceDE w:val="0"/>
        <w:autoSpaceDN w:val="0"/>
        <w:adjustRightInd w:val="0"/>
        <w:spacing w:after="0"/>
        <w:ind w:left="360"/>
        <w:rPr>
          <w:rFonts w:ascii="Arial" w:hAnsi="Arial" w:cs="Arial"/>
          <w:sz w:val="24"/>
          <w:szCs w:val="24"/>
        </w:rPr>
      </w:pPr>
      <w:r w:rsidRPr="0008572D">
        <w:rPr>
          <w:rFonts w:ascii="Arial" w:hAnsi="Arial" w:cs="Arial"/>
          <w:sz w:val="24"/>
          <w:szCs w:val="24"/>
        </w:rPr>
        <w:t>(Z) any other business designated by the Secretary whose cash transactions have a high degree of usefulness in criminal, tax, or regulatory matters.</w:t>
      </w:r>
    </w:p>
    <w:p w:rsidR="00B23EA2" w:rsidRDefault="00B23EA2" w:rsidP="0008572D">
      <w:pPr>
        <w:rPr>
          <w:rFonts w:ascii="Arial" w:hAnsi="Arial" w:cs="Arial"/>
          <w:b/>
          <w:sz w:val="24"/>
          <w:szCs w:val="24"/>
        </w:rPr>
      </w:pPr>
    </w:p>
    <w:p w:rsidR="0008572D" w:rsidRPr="0008572D" w:rsidRDefault="0008572D" w:rsidP="0008572D">
      <w:pPr>
        <w:rPr>
          <w:rFonts w:ascii="Arial" w:hAnsi="Arial" w:cs="Arial"/>
          <w:sz w:val="24"/>
          <w:szCs w:val="24"/>
        </w:rPr>
      </w:pPr>
      <w:r w:rsidRPr="0008572D">
        <w:rPr>
          <w:rFonts w:ascii="Arial" w:hAnsi="Arial" w:cs="Arial"/>
          <w:b/>
          <w:sz w:val="24"/>
          <w:szCs w:val="24"/>
        </w:rPr>
        <w:t xml:space="preserve">Loan or finance company </w:t>
      </w:r>
      <w:r w:rsidRPr="0008572D">
        <w:rPr>
          <w:rFonts w:ascii="Arial" w:hAnsi="Arial" w:cs="Arial"/>
          <w:sz w:val="24"/>
          <w:szCs w:val="24"/>
        </w:rPr>
        <w:t xml:space="preserve">– a person engaged in activities that take place wholly or in substantial port within the United States in one or more of the capacities listed as a RMLO, whether or not on a regular basis or as an organized business concern.  This includes but is not limited to maintenance of any agent, agency, branch, or office within the United State.  For the purposes of this paragraph, the term “loan or finance company” shall include a sole proprietor acting as a loan or finance company, and shall not include (1) a bank, (2) a person registered with and functionally regulated or examined by the Securities and Exchange Commission of the Commodity Futures Trading Commission, (3) any government sponsored enterprise regulated by the Federal Housing Finance Agency, (4) any Federal or state agency or authority administering mortgage or housing assistance, fraud prevention or foreclosure prevention programs, or (5) an individual employed by a loan or finance company or </w:t>
      </w:r>
      <w:r w:rsidRPr="0008572D">
        <w:rPr>
          <w:rFonts w:ascii="Arial" w:hAnsi="Arial" w:cs="Arial"/>
          <w:sz w:val="24"/>
          <w:szCs w:val="24"/>
        </w:rPr>
        <w:lastRenderedPageBreak/>
        <w:t xml:space="preserve">financial institution under this part.  A loan or finance company is not a financial institution as defined in the regulations under at 31 CFR 1010.100(t). </w:t>
      </w:r>
    </w:p>
    <w:p w:rsidR="0008572D" w:rsidRPr="0008572D" w:rsidRDefault="0008572D" w:rsidP="0008572D">
      <w:pPr>
        <w:rPr>
          <w:rFonts w:ascii="Arial" w:hAnsi="Arial" w:cs="Arial"/>
          <w:sz w:val="24"/>
          <w:szCs w:val="24"/>
        </w:rPr>
      </w:pPr>
      <w:r w:rsidRPr="0008572D">
        <w:rPr>
          <w:rFonts w:ascii="Arial" w:hAnsi="Arial" w:cs="Arial"/>
          <w:b/>
          <w:sz w:val="24"/>
          <w:szCs w:val="24"/>
        </w:rPr>
        <w:t>Residential mortgage lender</w:t>
      </w:r>
      <w:r w:rsidRPr="0008572D">
        <w:rPr>
          <w:rFonts w:ascii="Arial" w:hAnsi="Arial" w:cs="Arial"/>
          <w:sz w:val="24"/>
          <w:szCs w:val="24"/>
        </w:rPr>
        <w:t xml:space="preserve"> – the person to whom the debt arising from a residential mortgage loan is initially payable on the face of the evidence of indebtedness or, if there is no such evidence of indebtedness, by agreement, or to whom the obligation is initially assigned at or immediately after settlement.  The term “residential mortgage lender” shall not include an individual who finances the sale of the individual’s own dwelling or real property. </w:t>
      </w:r>
    </w:p>
    <w:p w:rsidR="0008572D" w:rsidRPr="0008572D" w:rsidRDefault="0008572D" w:rsidP="0008572D">
      <w:pPr>
        <w:rPr>
          <w:rFonts w:ascii="Arial" w:hAnsi="Arial" w:cs="Arial"/>
          <w:sz w:val="24"/>
          <w:szCs w:val="24"/>
        </w:rPr>
      </w:pPr>
      <w:r w:rsidRPr="0008572D">
        <w:rPr>
          <w:rFonts w:ascii="Arial" w:hAnsi="Arial" w:cs="Arial"/>
          <w:b/>
          <w:sz w:val="24"/>
          <w:szCs w:val="24"/>
        </w:rPr>
        <w:t>Residential mortgage loan</w:t>
      </w:r>
      <w:r w:rsidRPr="0008572D">
        <w:rPr>
          <w:rFonts w:ascii="Arial" w:hAnsi="Arial" w:cs="Arial"/>
          <w:sz w:val="24"/>
          <w:szCs w:val="24"/>
        </w:rPr>
        <w:t xml:space="preserve"> – A loan that is secured by a mortgage, deed of trust, or other equivalent consensual security interest on (A) a residential structure that contains one to four units, including, if used as a residence, an individual condominium unit, cooperative unit, mobile home or trailer; or (B) residential real estate upon which such a structure is constructed or intended to be constructed. </w:t>
      </w:r>
    </w:p>
    <w:p w:rsidR="0008572D" w:rsidRPr="0008572D" w:rsidRDefault="0008572D" w:rsidP="0008572D">
      <w:pPr>
        <w:rPr>
          <w:rFonts w:ascii="Arial" w:hAnsi="Arial" w:cs="Arial"/>
          <w:sz w:val="24"/>
          <w:szCs w:val="24"/>
        </w:rPr>
      </w:pPr>
      <w:r w:rsidRPr="0008572D">
        <w:rPr>
          <w:rFonts w:ascii="Arial" w:hAnsi="Arial" w:cs="Arial"/>
          <w:b/>
          <w:sz w:val="24"/>
          <w:szCs w:val="24"/>
        </w:rPr>
        <w:t>Residential mortgage originator</w:t>
      </w:r>
      <w:r w:rsidRPr="0008572D">
        <w:rPr>
          <w:rFonts w:ascii="Arial" w:hAnsi="Arial" w:cs="Arial"/>
          <w:sz w:val="24"/>
          <w:szCs w:val="24"/>
        </w:rPr>
        <w:t xml:space="preserve"> – a person who accepts a residential mortgage loan application or offers or negotiates terms of a residential mortgage loan. </w:t>
      </w:r>
    </w:p>
    <w:p w:rsidR="0008572D" w:rsidRPr="0008572D" w:rsidRDefault="0008572D" w:rsidP="0008572D">
      <w:pPr>
        <w:rPr>
          <w:rFonts w:ascii="Arial" w:hAnsi="Arial" w:cs="Arial"/>
          <w:sz w:val="24"/>
          <w:szCs w:val="24"/>
        </w:rPr>
      </w:pPr>
    </w:p>
    <w:p w:rsidR="0008572D" w:rsidRPr="0008572D" w:rsidRDefault="0008572D" w:rsidP="0008572D">
      <w:pPr>
        <w:pStyle w:val="Heading2"/>
        <w:rPr>
          <w:rFonts w:cs="Arial"/>
          <w:sz w:val="24"/>
          <w:szCs w:val="24"/>
        </w:rPr>
      </w:pPr>
      <w:bookmarkStart w:id="25" w:name="_Toc335314208"/>
      <w:r w:rsidRPr="0008572D">
        <w:rPr>
          <w:rFonts w:cs="Arial"/>
          <w:sz w:val="24"/>
          <w:szCs w:val="24"/>
        </w:rPr>
        <w:t>Acronyms</w:t>
      </w:r>
      <w:bookmarkEnd w:id="25"/>
    </w:p>
    <w:p w:rsidR="0008572D" w:rsidRPr="0008572D" w:rsidRDefault="0008572D" w:rsidP="0008572D">
      <w:pPr>
        <w:rPr>
          <w:rFonts w:ascii="Arial" w:hAnsi="Arial" w:cs="Arial"/>
          <w:sz w:val="24"/>
          <w:szCs w:val="24"/>
        </w:rPr>
      </w:pPr>
    </w:p>
    <w:p w:rsidR="0008572D" w:rsidRPr="0008572D" w:rsidRDefault="0008572D" w:rsidP="0008572D">
      <w:pPr>
        <w:rPr>
          <w:rFonts w:ascii="Arial" w:hAnsi="Arial" w:cs="Arial"/>
          <w:sz w:val="24"/>
          <w:szCs w:val="24"/>
        </w:rPr>
      </w:pPr>
      <w:r w:rsidRPr="0008572D">
        <w:rPr>
          <w:rFonts w:ascii="Arial" w:hAnsi="Arial" w:cs="Arial"/>
          <w:b/>
          <w:sz w:val="24"/>
          <w:szCs w:val="24"/>
        </w:rPr>
        <w:t xml:space="preserve">AML </w:t>
      </w:r>
      <w:r w:rsidRPr="0008572D">
        <w:rPr>
          <w:rFonts w:ascii="Arial" w:hAnsi="Arial" w:cs="Arial"/>
          <w:sz w:val="24"/>
          <w:szCs w:val="24"/>
        </w:rPr>
        <w:t>– Anti-money laundering program</w:t>
      </w:r>
    </w:p>
    <w:p w:rsidR="0008572D" w:rsidRPr="0008572D" w:rsidRDefault="0008572D" w:rsidP="0008572D">
      <w:pPr>
        <w:rPr>
          <w:rFonts w:ascii="Arial" w:hAnsi="Arial" w:cs="Arial"/>
          <w:sz w:val="24"/>
          <w:szCs w:val="24"/>
        </w:rPr>
      </w:pPr>
      <w:r w:rsidRPr="0008572D">
        <w:rPr>
          <w:rFonts w:ascii="Arial" w:hAnsi="Arial" w:cs="Arial"/>
          <w:b/>
          <w:sz w:val="24"/>
          <w:szCs w:val="24"/>
        </w:rPr>
        <w:t>BSA</w:t>
      </w:r>
      <w:r w:rsidRPr="0008572D">
        <w:rPr>
          <w:rFonts w:ascii="Arial" w:hAnsi="Arial" w:cs="Arial"/>
          <w:sz w:val="24"/>
          <w:szCs w:val="24"/>
        </w:rPr>
        <w:t xml:space="preserve"> – The Bank Secrecy Act</w:t>
      </w:r>
    </w:p>
    <w:p w:rsidR="0008572D" w:rsidRPr="0008572D" w:rsidRDefault="0008572D" w:rsidP="0008572D">
      <w:pPr>
        <w:rPr>
          <w:rFonts w:ascii="Arial" w:hAnsi="Arial" w:cs="Arial"/>
          <w:sz w:val="24"/>
          <w:szCs w:val="24"/>
        </w:rPr>
      </w:pPr>
      <w:r w:rsidRPr="0008572D">
        <w:rPr>
          <w:rFonts w:ascii="Arial" w:hAnsi="Arial" w:cs="Arial"/>
          <w:b/>
          <w:sz w:val="24"/>
          <w:szCs w:val="24"/>
        </w:rPr>
        <w:t xml:space="preserve">FinCEN </w:t>
      </w:r>
      <w:r w:rsidRPr="0008572D">
        <w:rPr>
          <w:rFonts w:ascii="Arial" w:hAnsi="Arial" w:cs="Arial"/>
          <w:sz w:val="24"/>
          <w:szCs w:val="24"/>
        </w:rPr>
        <w:t>–  Financial Crimes Enforcement Network, a bureau of the Department of the Treasury</w:t>
      </w:r>
    </w:p>
    <w:p w:rsidR="0008572D" w:rsidRPr="0008572D" w:rsidRDefault="0008572D" w:rsidP="0008572D">
      <w:pPr>
        <w:rPr>
          <w:rFonts w:ascii="Arial" w:hAnsi="Arial" w:cs="Arial"/>
          <w:sz w:val="24"/>
          <w:szCs w:val="24"/>
        </w:rPr>
      </w:pPr>
      <w:r w:rsidRPr="0008572D">
        <w:rPr>
          <w:rFonts w:ascii="Arial" w:hAnsi="Arial" w:cs="Arial"/>
          <w:b/>
          <w:sz w:val="24"/>
          <w:szCs w:val="24"/>
        </w:rPr>
        <w:t>RMLO</w:t>
      </w:r>
      <w:r w:rsidRPr="0008572D">
        <w:rPr>
          <w:rFonts w:ascii="Arial" w:hAnsi="Arial" w:cs="Arial"/>
          <w:sz w:val="24"/>
          <w:szCs w:val="24"/>
        </w:rPr>
        <w:t>- Residential mortgage lenders and originators which includes residential mortgage lender; residential mortgage originator; and residential mortgage loan.</w:t>
      </w:r>
    </w:p>
    <w:p w:rsidR="0008572D" w:rsidRPr="0008572D" w:rsidRDefault="0008572D" w:rsidP="0008572D">
      <w:pPr>
        <w:rPr>
          <w:rFonts w:ascii="Arial" w:hAnsi="Arial" w:cs="Arial"/>
          <w:sz w:val="24"/>
          <w:szCs w:val="24"/>
        </w:rPr>
      </w:pPr>
      <w:r w:rsidRPr="0008572D">
        <w:rPr>
          <w:rFonts w:ascii="Arial" w:hAnsi="Arial" w:cs="Arial"/>
          <w:b/>
          <w:sz w:val="24"/>
          <w:szCs w:val="24"/>
        </w:rPr>
        <w:t>SAR</w:t>
      </w:r>
      <w:r w:rsidRPr="0008572D">
        <w:rPr>
          <w:rFonts w:ascii="Arial" w:hAnsi="Arial" w:cs="Arial"/>
          <w:sz w:val="24"/>
          <w:szCs w:val="24"/>
        </w:rPr>
        <w:t xml:space="preserve">- Suspicious Activity Report </w:t>
      </w:r>
    </w:p>
    <w:p w:rsidR="0008572D" w:rsidRPr="0008572D" w:rsidRDefault="0008572D">
      <w:pPr>
        <w:rPr>
          <w:rFonts w:ascii="Arial" w:hAnsi="Arial" w:cs="Arial"/>
          <w:sz w:val="24"/>
          <w:szCs w:val="24"/>
        </w:rPr>
      </w:pPr>
      <w:r w:rsidRPr="0008572D">
        <w:rPr>
          <w:rFonts w:ascii="Arial" w:hAnsi="Arial" w:cs="Arial"/>
          <w:b/>
          <w:sz w:val="24"/>
          <w:szCs w:val="24"/>
        </w:rPr>
        <w:t>Secretary</w:t>
      </w:r>
      <w:r w:rsidRPr="0008572D">
        <w:rPr>
          <w:rFonts w:ascii="Arial" w:hAnsi="Arial" w:cs="Arial"/>
          <w:sz w:val="24"/>
          <w:szCs w:val="24"/>
        </w:rPr>
        <w:t xml:space="preserve"> – Secretary of the Treasury </w:t>
      </w:r>
    </w:p>
    <w:sectPr w:rsidR="0008572D" w:rsidRPr="0008572D" w:rsidSect="006A01D5">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11B" w:rsidRDefault="0027611B" w:rsidP="00C220A3">
      <w:pPr>
        <w:spacing w:after="0" w:line="240" w:lineRule="auto"/>
      </w:pPr>
      <w:r>
        <w:separator/>
      </w:r>
    </w:p>
  </w:endnote>
  <w:endnote w:type="continuationSeparator" w:id="0">
    <w:p w:rsidR="0027611B" w:rsidRDefault="0027611B" w:rsidP="00C22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007" w:rsidRDefault="00F76007" w:rsidP="00CA6276">
    <w:pPr>
      <w:pStyle w:val="Footer"/>
      <w:tabs>
        <w:tab w:val="clear" w:pos="4680"/>
        <w:tab w:val="right" w:pos="9360"/>
      </w:tabs>
      <w:rPr>
        <w:rFonts w:ascii="Cambria" w:eastAsia="Times New Roman" w:hAnsi="Cambria"/>
        <w:noProof/>
      </w:rPr>
    </w:pPr>
    <w:r>
      <w:rPr>
        <w:rFonts w:ascii="Cambria" w:eastAsia="Times New Roman" w:hAnsi="Cambria"/>
      </w:rPr>
      <w:t>MMC Exam Manual</w:t>
    </w:r>
    <w:r>
      <w:rPr>
        <w:rFonts w:ascii="Cambria" w:eastAsia="Times New Roman" w:hAnsi="Cambria"/>
      </w:rPr>
      <w:tab/>
      <w:t xml:space="preserve">Page </w:t>
    </w:r>
    <w:r w:rsidRPr="001A276C">
      <w:rPr>
        <w:rFonts w:eastAsia="Times New Roman"/>
      </w:rPr>
      <w:fldChar w:fldCharType="begin"/>
    </w:r>
    <w:r>
      <w:instrText xml:space="preserve"> PAGE   \* MERGEFORMAT </w:instrText>
    </w:r>
    <w:r w:rsidRPr="001A276C">
      <w:rPr>
        <w:rFonts w:eastAsia="Times New Roman"/>
      </w:rPr>
      <w:fldChar w:fldCharType="separate"/>
    </w:r>
    <w:r w:rsidR="00F4033A" w:rsidRPr="00F4033A">
      <w:rPr>
        <w:rFonts w:ascii="Cambria" w:eastAsia="Times New Roman" w:hAnsi="Cambria"/>
        <w:noProof/>
      </w:rPr>
      <w:t>2</w:t>
    </w:r>
    <w:r>
      <w:rPr>
        <w:rFonts w:ascii="Cambria" w:eastAsia="Times New Roman" w:hAnsi="Cambria"/>
        <w:noProof/>
      </w:rPr>
      <w:fldChar w:fldCharType="end"/>
    </w:r>
    <w:r w:rsidR="00F4033A">
      <w:rPr>
        <w:noProof/>
      </w:rPr>
      <mc:AlternateContent>
        <mc:Choice Requires="wpg">
          <w:drawing>
            <wp:anchor distT="0" distB="0" distL="114300" distR="114300" simplePos="0" relativeHeight="251656704" behindDoc="0" locked="0" layoutInCell="0" allowOverlap="1">
              <wp:simplePos x="0" y="0"/>
              <wp:positionH relativeFrom="page">
                <wp:align>center</wp:align>
              </wp:positionH>
              <wp:positionV relativeFrom="page">
                <wp:align>bottom</wp:align>
              </wp:positionV>
              <wp:extent cx="7757160" cy="831850"/>
              <wp:effectExtent l="0" t="0" r="0" b="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7160" cy="83185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id="Group 441" o:spid="_x0000_s1026" style="position:absolute;margin-left:0;margin-top:0;width:610.8pt;height:65.5pt;flip:y;z-index:25165670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sidR="00F4033A">
      <w:rPr>
        <w:noProof/>
      </w:rPr>
      <mc:AlternateContent>
        <mc:Choice Requires="wps">
          <w:drawing>
            <wp:anchor distT="0" distB="0" distL="114300" distR="114300" simplePos="0" relativeHeight="251658752" behindDoc="0" locked="0" layoutInCell="1" allowOverlap="1">
              <wp:simplePos x="0" y="0"/>
              <wp:positionH relativeFrom="page">
                <wp:posOffset>409575</wp:posOffset>
              </wp:positionH>
              <wp:positionV relativeFrom="page">
                <wp:posOffset>9244965</wp:posOffset>
              </wp:positionV>
              <wp:extent cx="90805" cy="811530"/>
              <wp:effectExtent l="9525" t="5715" r="13970" b="5715"/>
              <wp:wrapNone/>
              <wp:docPr id="2"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1153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ctangle 444" o:spid="_x0000_s1026" style="position:absolute;margin-left:32.25pt;margin-top:727.95pt;width:7.15pt;height:63.9pt;z-index:251658752;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" fillcolor="#4bacc6" strokecolor="#4f81bd">
              <w10:wrap anchorx="page" anchory="page"/>
            </v:rect>
          </w:pict>
        </mc:Fallback>
      </mc:AlternateContent>
    </w:r>
    <w:r w:rsidR="00F4033A">
      <w:rPr>
        <w:noProof/>
      </w:rPr>
      <mc:AlternateContent>
        <mc:Choice Requires="wps">
          <w:drawing>
            <wp:anchor distT="0" distB="0" distL="114300" distR="114300" simplePos="0" relativeHeight="251657728" behindDoc="0" locked="0" layoutInCell="1" allowOverlap="1">
              <wp:simplePos x="0" y="0"/>
              <wp:positionH relativeFrom="page">
                <wp:posOffset>8181975</wp:posOffset>
              </wp:positionH>
              <wp:positionV relativeFrom="page">
                <wp:posOffset>9244965</wp:posOffset>
              </wp:positionV>
              <wp:extent cx="91440" cy="811530"/>
              <wp:effectExtent l="9525" t="5715" r="13335" b="5715"/>
              <wp:wrapNone/>
              <wp:docPr id="1"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1153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ctangle 445" o:spid="_x0000_s1026" style="position:absolute;margin-left:644.25pt;margin-top:727.95pt;width:7.2pt;height:63.9pt;z-index:251657728;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" fillcolor="#4bacc6" strokecolor="#4f81bd">
              <w10:wrap anchorx="page" anchory="page"/>
            </v:rect>
          </w:pict>
        </mc:Fallback>
      </mc:AlternateContent>
    </w:r>
  </w:p>
  <w:p w:rsidR="00F76007" w:rsidRDefault="00F76007">
    <w:pPr>
      <w:pStyle w:val="Footer"/>
    </w:pPr>
    <w:r>
      <w:rPr>
        <w:rFonts w:ascii="Cambria" w:eastAsia="Times New Roman" w:hAnsi="Cambria"/>
        <w:noProof/>
      </w:rPr>
      <w:t>BSA/AML Module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11B" w:rsidRDefault="0027611B" w:rsidP="00C220A3">
      <w:pPr>
        <w:spacing w:after="0" w:line="240" w:lineRule="auto"/>
      </w:pPr>
      <w:r>
        <w:separator/>
      </w:r>
    </w:p>
  </w:footnote>
  <w:footnote w:type="continuationSeparator" w:id="0">
    <w:p w:rsidR="0027611B" w:rsidRDefault="0027611B" w:rsidP="00C220A3">
      <w:pPr>
        <w:spacing w:after="0" w:line="240" w:lineRule="auto"/>
      </w:pPr>
      <w:r>
        <w:continuationSeparator/>
      </w:r>
    </w:p>
  </w:footnote>
  <w:footnote w:id="1">
    <w:p w:rsidR="00F76007" w:rsidRPr="00C3748E" w:rsidRDefault="00F76007" w:rsidP="00C220A3">
      <w:pPr>
        <w:pStyle w:val="FootnoteText"/>
        <w:rPr>
          <w:rFonts w:ascii="Arial" w:hAnsi="Arial" w:cs="Arial"/>
        </w:rPr>
      </w:pPr>
      <w:r w:rsidRPr="00C3748E">
        <w:rPr>
          <w:rStyle w:val="FootnoteReference"/>
          <w:rFonts w:ascii="Arial" w:hAnsi="Arial" w:cs="Arial"/>
          <w:szCs w:val="20"/>
        </w:rPr>
        <w:footnoteRef/>
      </w:r>
      <w:r w:rsidRPr="00C3748E">
        <w:rPr>
          <w:rFonts w:ascii="Arial" w:hAnsi="Arial" w:cs="Arial"/>
        </w:rPr>
        <w:t xml:space="preserve"> Mortgage Fraud is defined as a material misstatement, misrepresentation, or omissions relied upon by an underwriter or lender to fund, purchase, or insure a loan. Mortgage loan fraud is divided into two categories: fraud for property and fraud for profit. FBI Financial Crimes Section, Financial Institution Fraud Unit, Mortgage Fraud, A Guide for Investigators, 2003. Additional information on Mortgage Fraud can be found at </w:t>
      </w:r>
      <w:hyperlink r:id="rId1" w:history="1">
        <w:r w:rsidRPr="00C3748E">
          <w:rPr>
            <w:rStyle w:val="Hyperlink"/>
            <w:rFonts w:ascii="Arial" w:hAnsi="Arial" w:cs="Arial"/>
          </w:rPr>
          <w:t>http://www.fincen.gov/news_room/rp/mortgagefraud.html</w:t>
        </w:r>
      </w:hyperlink>
      <w:r w:rsidRPr="00C3748E">
        <w:rPr>
          <w:rFonts w:ascii="Arial" w:hAnsi="Arial" w:cs="Arial"/>
        </w:rPr>
        <w:t>.</w:t>
      </w:r>
    </w:p>
  </w:footnote>
  <w:footnote w:id="2">
    <w:p w:rsidR="00F76007" w:rsidRPr="00C3748E" w:rsidRDefault="00F76007" w:rsidP="00C220A3">
      <w:pPr>
        <w:pStyle w:val="FootnoteText"/>
        <w:rPr>
          <w:rFonts w:ascii="Arial" w:hAnsi="Arial" w:cs="Arial"/>
        </w:rPr>
      </w:pPr>
      <w:r w:rsidRPr="00C3748E">
        <w:rPr>
          <w:rStyle w:val="FootnoteReference"/>
          <w:rFonts w:ascii="Arial" w:hAnsi="Arial" w:cs="Arial"/>
          <w:szCs w:val="20"/>
        </w:rPr>
        <w:footnoteRef/>
      </w:r>
      <w:r w:rsidRPr="00C3748E">
        <w:rPr>
          <w:rFonts w:ascii="Arial" w:hAnsi="Arial" w:cs="Arial"/>
        </w:rPr>
        <w:t xml:space="preserve"> Additional information on Mortgage Fraud can be found at </w:t>
      </w:r>
      <w:hyperlink r:id="rId2" w:history="1">
        <w:r w:rsidRPr="00C3748E">
          <w:rPr>
            <w:rStyle w:val="Hyperlink"/>
            <w:rFonts w:ascii="Arial" w:hAnsi="Arial" w:cs="Arial"/>
          </w:rPr>
          <w:t>http://www.fincen.gov/news_room/rp/mortgagefraud.html</w:t>
        </w:r>
      </w:hyperlink>
      <w:r>
        <w:rPr>
          <w:rFonts w:ascii="Arial" w:hAnsi="Arial" w:cs="Arial"/>
        </w:rPr>
        <w:t>.</w:t>
      </w:r>
    </w:p>
  </w:footnote>
  <w:footnote w:id="3">
    <w:p w:rsidR="00F76007" w:rsidRPr="00C3748E" w:rsidRDefault="00F76007" w:rsidP="00C220A3">
      <w:pPr>
        <w:pStyle w:val="FootnoteText"/>
        <w:rPr>
          <w:rFonts w:ascii="Arial" w:hAnsi="Arial" w:cs="Arial"/>
        </w:rPr>
      </w:pPr>
      <w:r w:rsidRPr="00C3748E">
        <w:rPr>
          <w:rStyle w:val="FootnoteReference"/>
          <w:rFonts w:ascii="Arial" w:hAnsi="Arial" w:cs="Arial"/>
          <w:szCs w:val="20"/>
        </w:rPr>
        <w:footnoteRef/>
      </w:r>
      <w:r w:rsidRPr="00C3748E">
        <w:rPr>
          <w:rFonts w:ascii="Arial" w:hAnsi="Arial" w:cs="Arial"/>
        </w:rPr>
        <w:t xml:space="preserve"> FinCEN, Mortgage Loan Fraud: An Industry Assessment based upon Suspicious Activity Report Analysis, November 2006.</w:t>
      </w:r>
      <w:r w:rsidRPr="00C3748E">
        <w:rPr>
          <w:rFonts w:ascii="Arial" w:hAnsi="Arial" w:cs="Arial"/>
          <w:i/>
        </w:rPr>
        <w:t>Available at</w:t>
      </w:r>
      <w:r w:rsidRPr="00C3748E">
        <w:rPr>
          <w:rFonts w:ascii="Arial" w:hAnsi="Arial" w:cs="Arial"/>
        </w:rPr>
        <w:t xml:space="preserve"> http://www.fincen.gov/news_room/rp/reports/pdf/MortgageLoanFraud.pdf.</w:t>
      </w:r>
    </w:p>
  </w:footnote>
  <w:footnote w:id="4">
    <w:p w:rsidR="00F76007" w:rsidRPr="00C3748E" w:rsidRDefault="00F76007" w:rsidP="00C3748E">
      <w:pPr>
        <w:rPr>
          <w:rFonts w:ascii="Arial" w:hAnsi="Arial" w:cs="Arial"/>
          <w:sz w:val="20"/>
          <w:szCs w:val="20"/>
        </w:rPr>
      </w:pPr>
      <w:r w:rsidRPr="00C3748E">
        <w:rPr>
          <w:rStyle w:val="FootnoteReference"/>
          <w:rFonts w:ascii="Arial" w:hAnsi="Arial" w:cs="Arial"/>
          <w:sz w:val="20"/>
          <w:szCs w:val="20"/>
        </w:rPr>
        <w:footnoteRef/>
      </w:r>
      <w:r w:rsidRPr="00C3748E">
        <w:rPr>
          <w:rFonts w:ascii="Arial" w:hAnsi="Arial" w:cs="Arial"/>
          <w:sz w:val="20"/>
          <w:szCs w:val="20"/>
        </w:rPr>
        <w:t xml:space="preserve"> Identity Theft Red Flags and Address Discrepancies under the Fair and Accurate Credit Transactions Act of 2003, Federal Register, Vol 72. No. 217, Friday, November 9, 2007, Rules and Regulations. pp 63718–63775.  See this document to prepare a</w:t>
      </w:r>
      <w:r>
        <w:rPr>
          <w:rFonts w:ascii="Arial" w:hAnsi="Arial" w:cs="Arial"/>
          <w:sz w:val="20"/>
          <w:szCs w:val="20"/>
        </w:rPr>
        <w:t xml:space="preserve"> risk-based compliance program.</w:t>
      </w:r>
      <w:r w:rsidRPr="00C3748E">
        <w:rPr>
          <w:rFonts w:ascii="Arial" w:hAnsi="Arial" w:cs="Arial"/>
          <w:vanish/>
          <w:sz w:val="20"/>
          <w:szCs w:val="20"/>
        </w:rPr>
        <w:t xml:space="preserve"> cies under the Fair and Accurate Credit Transactions Act of 2003.d Flags Rules.ks facing RMLOs i</w:t>
      </w:r>
    </w:p>
  </w:footnote>
  <w:footnote w:id="5">
    <w:p w:rsidR="00F76007" w:rsidRPr="00C3748E" w:rsidRDefault="00F76007" w:rsidP="00C220A3">
      <w:pPr>
        <w:pStyle w:val="FootnoteText"/>
        <w:rPr>
          <w:rFonts w:ascii="Arial" w:hAnsi="Arial" w:cs="Arial"/>
        </w:rPr>
      </w:pPr>
      <w:r w:rsidRPr="00C3748E">
        <w:rPr>
          <w:rStyle w:val="FootnoteReference"/>
          <w:rFonts w:ascii="Arial" w:hAnsi="Arial" w:cs="Arial"/>
          <w:szCs w:val="20"/>
        </w:rPr>
        <w:footnoteRef/>
      </w:r>
      <w:r w:rsidRPr="00C3748E">
        <w:rPr>
          <w:rFonts w:ascii="Arial" w:hAnsi="Arial" w:cs="Arial"/>
        </w:rPr>
        <w:t xml:space="preserve"> Additional information on the e-filing mandate is available at </w:t>
      </w:r>
      <w:hyperlink r:id="rId3" w:history="1">
        <w:r w:rsidRPr="00C3748E">
          <w:rPr>
            <w:rStyle w:val="Hyperlink"/>
            <w:rFonts w:ascii="Arial" w:hAnsi="Arial" w:cs="Arial"/>
          </w:rPr>
          <w:t>http://www.fincen.gov/news_room/nr/pdf/20120629.pdf</w:t>
        </w:r>
      </w:hyperlink>
      <w:r w:rsidRPr="00C3748E">
        <w:rPr>
          <w:rStyle w:val="Hyperlink"/>
          <w:rFonts w:ascii="Arial" w:hAnsi="Arial" w:cs="Arial"/>
        </w:rPr>
        <w:t>.</w:t>
      </w:r>
    </w:p>
  </w:footnote>
  <w:footnote w:id="6">
    <w:p w:rsidR="00F76007" w:rsidRPr="00C3748E" w:rsidRDefault="00F76007" w:rsidP="0008572D">
      <w:pPr>
        <w:pStyle w:val="NormalWeb"/>
        <w:rPr>
          <w:rFonts w:ascii="Arial" w:hAnsi="Arial" w:cs="Arial"/>
          <w:sz w:val="20"/>
          <w:szCs w:val="20"/>
        </w:rPr>
      </w:pPr>
      <w:r w:rsidRPr="00C3748E">
        <w:rPr>
          <w:rStyle w:val="FootnoteReference"/>
          <w:rFonts w:ascii="Arial" w:hAnsi="Arial" w:cs="Arial"/>
          <w:sz w:val="20"/>
          <w:szCs w:val="20"/>
        </w:rPr>
        <w:footnoteRef/>
      </w:r>
      <w:r w:rsidRPr="00C3748E">
        <w:rPr>
          <w:rFonts w:ascii="Arial" w:hAnsi="Arial" w:cs="Arial"/>
          <w:sz w:val="20"/>
          <w:szCs w:val="20"/>
        </w:rPr>
        <w:t xml:space="preserve"> Currency is defined at 31 CFR 1010.330, </w:t>
      </w:r>
      <w:r w:rsidRPr="00C3748E">
        <w:rPr>
          <w:rFonts w:ascii="Arial" w:hAnsi="Arial" w:cs="Arial"/>
          <w:i/>
          <w:sz w:val="20"/>
          <w:szCs w:val="20"/>
        </w:rPr>
        <w:t>available at</w:t>
      </w:r>
      <w:r w:rsidRPr="00C3748E">
        <w:rPr>
          <w:rFonts w:ascii="Arial" w:hAnsi="Arial" w:cs="Arial"/>
          <w:sz w:val="20"/>
          <w:szCs w:val="20"/>
        </w:rPr>
        <w:t xml:space="preserve"> </w:t>
      </w:r>
      <w:hyperlink r:id="rId4" w:history="1">
        <w:r w:rsidRPr="00C3748E">
          <w:rPr>
            <w:rStyle w:val="Hyperlink"/>
            <w:rFonts w:ascii="Arial" w:hAnsi="Arial" w:cs="Arial"/>
            <w:sz w:val="20"/>
            <w:szCs w:val="20"/>
          </w:rPr>
          <w:t>http://ecfr.gpoaccess.gov/cgi/t/text/text-idx?c=ecfr&amp;sid=7511cbde3306ffbcef6e6ff4c72f8b86&amp;rgn=div8&amp;view=text&amp;node=31:3.1.6.1.2.3.3.12&amp;idno=31</w:t>
        </w:r>
      </w:hyperlink>
    </w:p>
    <w:p w:rsidR="00F76007" w:rsidRPr="00C3748E" w:rsidRDefault="00F76007" w:rsidP="0008572D">
      <w:pPr>
        <w:pStyle w:val="NormalWeb"/>
        <w:rPr>
          <w:rFonts w:ascii="Arial" w:hAnsi="Arial" w:cs="Arial"/>
          <w:sz w:val="20"/>
          <w:szCs w:val="20"/>
        </w:rPr>
      </w:pPr>
    </w:p>
    <w:p w:rsidR="00F76007" w:rsidRPr="00C3748E" w:rsidRDefault="00F76007" w:rsidP="0008572D">
      <w:pPr>
        <w:pStyle w:val="FootnoteText"/>
        <w:rPr>
          <w:rFonts w:ascii="Arial" w:hAnsi="Arial" w:cs="Arial"/>
        </w:rPr>
      </w:pPr>
    </w:p>
  </w:footnote>
  <w:footnote w:id="7">
    <w:p w:rsidR="00F76007" w:rsidRPr="00C3748E" w:rsidRDefault="00F76007" w:rsidP="0008572D">
      <w:pPr>
        <w:pStyle w:val="FootnoteText"/>
        <w:rPr>
          <w:rFonts w:ascii="Arial" w:hAnsi="Arial" w:cs="Arial"/>
        </w:rPr>
      </w:pPr>
      <w:r w:rsidRPr="00C3748E">
        <w:rPr>
          <w:rStyle w:val="FootnoteReference"/>
          <w:rFonts w:ascii="Arial" w:hAnsi="Arial" w:cs="Arial"/>
          <w:szCs w:val="20"/>
        </w:rPr>
        <w:footnoteRef/>
      </w:r>
      <w:r w:rsidRPr="00C3748E">
        <w:rPr>
          <w:rFonts w:ascii="Arial" w:hAnsi="Arial" w:cs="Arial"/>
        </w:rPr>
        <w:t xml:space="preserve"> The definition of financial institution under 31 U.S.C. 5312(a)(2) is located at </w:t>
      </w:r>
      <w:hyperlink r:id="rId5" w:history="1">
        <w:r w:rsidRPr="00C3748E">
          <w:rPr>
            <w:rStyle w:val="Hyperlink"/>
            <w:rFonts w:ascii="Arial" w:hAnsi="Arial" w:cs="Arial"/>
          </w:rPr>
          <w:t>http://www.gpo.gov/fdsys/pkg/USCODE-2011-title31/pdf/USCODE-2011-title31-subtitleIV-chap53-subchapII-sec5312.pdf</w:t>
        </w:r>
      </w:hyperlink>
      <w:r w:rsidRPr="00C3748E">
        <w:rPr>
          <w:rFonts w:ascii="Arial" w:hAnsi="Arial" w:cs="Aria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8B4"/>
    <w:multiLevelType w:val="hybridMultilevel"/>
    <w:tmpl w:val="195C26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02047842"/>
    <w:multiLevelType w:val="hybridMultilevel"/>
    <w:tmpl w:val="A74E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13EA9"/>
    <w:multiLevelType w:val="hybridMultilevel"/>
    <w:tmpl w:val="1DF23976"/>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0B2776"/>
    <w:multiLevelType w:val="hybridMultilevel"/>
    <w:tmpl w:val="145A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8D2E98"/>
    <w:multiLevelType w:val="hybridMultilevel"/>
    <w:tmpl w:val="8514B4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6DA0F61"/>
    <w:multiLevelType w:val="hybridMultilevel"/>
    <w:tmpl w:val="801AFC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163CF6"/>
    <w:multiLevelType w:val="hybridMultilevel"/>
    <w:tmpl w:val="D948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7E53EB"/>
    <w:multiLevelType w:val="hybridMultilevel"/>
    <w:tmpl w:val="326479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9C5393"/>
    <w:multiLevelType w:val="hybridMultilevel"/>
    <w:tmpl w:val="D8582C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8516C4"/>
    <w:multiLevelType w:val="hybridMultilevel"/>
    <w:tmpl w:val="49F8F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FD5D03"/>
    <w:multiLevelType w:val="hybridMultilevel"/>
    <w:tmpl w:val="FA008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17A27A7"/>
    <w:multiLevelType w:val="hybridMultilevel"/>
    <w:tmpl w:val="C422D6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EE0CF2"/>
    <w:multiLevelType w:val="hybridMultilevel"/>
    <w:tmpl w:val="BB94C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62529F"/>
    <w:multiLevelType w:val="hybridMultilevel"/>
    <w:tmpl w:val="D61EF4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4D5312"/>
    <w:multiLevelType w:val="hybridMultilevel"/>
    <w:tmpl w:val="2BBC4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D428E6"/>
    <w:multiLevelType w:val="hybridMultilevel"/>
    <w:tmpl w:val="9912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F51815"/>
    <w:multiLevelType w:val="hybridMultilevel"/>
    <w:tmpl w:val="DFF09D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116848"/>
    <w:multiLevelType w:val="hybridMultilevel"/>
    <w:tmpl w:val="B0728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42D10A4"/>
    <w:multiLevelType w:val="hybridMultilevel"/>
    <w:tmpl w:val="4E3815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3A716B"/>
    <w:multiLevelType w:val="hybridMultilevel"/>
    <w:tmpl w:val="BA46C5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47A14C5"/>
    <w:multiLevelType w:val="hybridMultilevel"/>
    <w:tmpl w:val="F08CDE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573670F"/>
    <w:multiLevelType w:val="hybridMultilevel"/>
    <w:tmpl w:val="146268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74D7FB3"/>
    <w:multiLevelType w:val="hybridMultilevel"/>
    <w:tmpl w:val="AEC8C89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2F90"/>
    <w:multiLevelType w:val="hybridMultilevel"/>
    <w:tmpl w:val="70F6EED8"/>
    <w:lvl w:ilvl="0" w:tplc="04090003">
      <w:start w:val="1"/>
      <w:numFmt w:val="bullet"/>
      <w:lvlText w:val="o"/>
      <w:lvlJc w:val="left"/>
      <w:pPr>
        <w:ind w:left="2016" w:hanging="360"/>
      </w:pPr>
      <w:rPr>
        <w:rFonts w:ascii="Courier New" w:hAnsi="Courier New" w:cs="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24">
    <w:nsid w:val="27966E4B"/>
    <w:multiLevelType w:val="hybridMultilevel"/>
    <w:tmpl w:val="E92CC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185136"/>
    <w:multiLevelType w:val="hybridMultilevel"/>
    <w:tmpl w:val="9B0CBF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8B61A29"/>
    <w:multiLevelType w:val="hybridMultilevel"/>
    <w:tmpl w:val="A6F0F1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ACE5284"/>
    <w:multiLevelType w:val="hybridMultilevel"/>
    <w:tmpl w:val="910AAA62"/>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B521480"/>
    <w:multiLevelType w:val="hybridMultilevel"/>
    <w:tmpl w:val="3E6661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2D5B3837"/>
    <w:multiLevelType w:val="hybridMultilevel"/>
    <w:tmpl w:val="E1147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105445E"/>
    <w:multiLevelType w:val="hybridMultilevel"/>
    <w:tmpl w:val="C23C0A42"/>
    <w:lvl w:ilvl="0" w:tplc="04090001">
      <w:start w:val="1"/>
      <w:numFmt w:val="bullet"/>
      <w:lvlText w:val=""/>
      <w:lvlJc w:val="left"/>
      <w:pPr>
        <w:ind w:left="720" w:hanging="360"/>
      </w:pPr>
      <w:rPr>
        <w:rFonts w:ascii="Symbol" w:hAnsi="Symbol" w:hint="default"/>
      </w:rPr>
    </w:lvl>
    <w:lvl w:ilvl="1" w:tplc="0630D70E">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39C27F5"/>
    <w:multiLevelType w:val="hybridMultilevel"/>
    <w:tmpl w:val="5A724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354F5231"/>
    <w:multiLevelType w:val="hybridMultilevel"/>
    <w:tmpl w:val="E21A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76B3355"/>
    <w:multiLevelType w:val="hybridMultilevel"/>
    <w:tmpl w:val="EF52AA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77658F2"/>
    <w:multiLevelType w:val="hybridMultilevel"/>
    <w:tmpl w:val="047E9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A493071"/>
    <w:multiLevelType w:val="hybridMultilevel"/>
    <w:tmpl w:val="14C62D74"/>
    <w:lvl w:ilvl="0" w:tplc="FFFFFFFF">
      <w:start w:val="1"/>
      <w:numFmt w:val="ideographDigital"/>
      <w:lvlText w:val=""/>
      <w:lvlJc w:val="left"/>
    </w:lvl>
    <w:lvl w:ilvl="1" w:tplc="FFFFFFFF">
      <w:start w:val="1"/>
      <w:numFmt w:val="ideographDigital"/>
      <w:lvlText w:val=""/>
      <w:lvlJc w:val="left"/>
    </w:lvl>
    <w:lvl w:ilvl="2" w:tplc="04090001">
      <w:start w:val="1"/>
      <w:numFmt w:val="bullet"/>
      <w:lvlText w:val=""/>
      <w:lvlJc w:val="left"/>
      <w:rPr>
        <w:rFonts w:ascii="Symbol" w:hAnsi="Symbol" w:hint="default"/>
      </w:rPr>
    </w:lvl>
    <w:lvl w:ilvl="3" w:tplc="04090003">
      <w:start w:val="1"/>
      <w:numFmt w:val="bullet"/>
      <w:lvlText w:val="o"/>
      <w:lvlJc w:val="left"/>
      <w:rPr>
        <w:rFonts w:ascii="Courier New" w:hAnsi="Courier New" w:cs="Courier New"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3BF148A4"/>
    <w:multiLevelType w:val="hybridMultilevel"/>
    <w:tmpl w:val="13A29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DAA516C"/>
    <w:multiLevelType w:val="hybridMultilevel"/>
    <w:tmpl w:val="99F4D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0524643"/>
    <w:multiLevelType w:val="hybridMultilevel"/>
    <w:tmpl w:val="9C1C86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1977C4D"/>
    <w:multiLevelType w:val="hybridMultilevel"/>
    <w:tmpl w:val="F67A350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nsid w:val="44077D7C"/>
    <w:multiLevelType w:val="hybridMultilevel"/>
    <w:tmpl w:val="A03A76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5AD3E18"/>
    <w:multiLevelType w:val="hybridMultilevel"/>
    <w:tmpl w:val="B65EB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7A956F8"/>
    <w:multiLevelType w:val="hybridMultilevel"/>
    <w:tmpl w:val="4C1892A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48651C11"/>
    <w:multiLevelType w:val="hybridMultilevel"/>
    <w:tmpl w:val="D8780F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A0619A8"/>
    <w:multiLevelType w:val="hybridMultilevel"/>
    <w:tmpl w:val="FEC20D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4BA9585C"/>
    <w:multiLevelType w:val="hybridMultilevel"/>
    <w:tmpl w:val="157802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0C433C8"/>
    <w:multiLevelType w:val="hybridMultilevel"/>
    <w:tmpl w:val="8FD42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4D240AE"/>
    <w:multiLevelType w:val="hybridMultilevel"/>
    <w:tmpl w:val="234EE5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676261C"/>
    <w:multiLevelType w:val="hybridMultilevel"/>
    <w:tmpl w:val="4FA02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8935670"/>
    <w:multiLevelType w:val="hybridMultilevel"/>
    <w:tmpl w:val="C25836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8CA05A5"/>
    <w:multiLevelType w:val="hybridMultilevel"/>
    <w:tmpl w:val="8ACAE02A"/>
    <w:lvl w:ilvl="0" w:tplc="FFFFFFFF">
      <w:start w:val="1"/>
      <w:numFmt w:val="ideographDigital"/>
      <w:lvlText w:val=""/>
      <w:lvlJc w:val="left"/>
    </w:lvl>
    <w:lvl w:ilvl="1" w:tplc="FFFFFFFF">
      <w:start w:val="1"/>
      <w:numFmt w:val="ideographDigital"/>
      <w:lvlText w:val=""/>
      <w:lvlJc w:val="left"/>
    </w:lvl>
    <w:lvl w:ilvl="2" w:tplc="04090001">
      <w:start w:val="1"/>
      <w:numFmt w:val="bullet"/>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5AD90080"/>
    <w:multiLevelType w:val="hybridMultilevel"/>
    <w:tmpl w:val="A4B40B82"/>
    <w:lvl w:ilvl="0" w:tplc="04090001">
      <w:start w:val="1"/>
      <w:numFmt w:val="bullet"/>
      <w:lvlText w:val=""/>
      <w:lvlJc w:val="left"/>
      <w:pPr>
        <w:ind w:left="720" w:hanging="360"/>
      </w:pPr>
      <w:rPr>
        <w:rFonts w:ascii="Symbol" w:hAnsi="Symbol" w:hint="default"/>
        <w:b w:val="0"/>
      </w:rPr>
    </w:lvl>
    <w:lvl w:ilvl="1" w:tplc="0409001B">
      <w:start w:val="1"/>
      <w:numFmt w:val="lowerRoman"/>
      <w:lvlText w:val="%2."/>
      <w:lvlJc w:val="right"/>
      <w:pPr>
        <w:ind w:left="1440" w:hanging="360"/>
      </w:pPr>
    </w:lvl>
    <w:lvl w:ilvl="2" w:tplc="303A7EB8">
      <w:start w:val="1"/>
      <w:numFmt w:val="lowerLetter"/>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BBAC402A">
      <w:start w:val="1"/>
      <w:numFmt w:val="lowerLetter"/>
      <w:lvlText w:val="%6."/>
      <w:lvlJc w:val="right"/>
      <w:pPr>
        <w:ind w:left="4320" w:hanging="180"/>
      </w:pPr>
      <w:rPr>
        <w:rFonts w:ascii="Times New Roman" w:eastAsia="Times New Roman" w:hAnsi="Times New Roman" w:cs="Times New Roman"/>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CB26BAD"/>
    <w:multiLevelType w:val="hybridMultilevel"/>
    <w:tmpl w:val="50A091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533243D"/>
    <w:multiLevelType w:val="hybridMultilevel"/>
    <w:tmpl w:val="86BE8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6713768"/>
    <w:multiLevelType w:val="hybridMultilevel"/>
    <w:tmpl w:val="8F9CC19A"/>
    <w:lvl w:ilvl="0" w:tplc="04090001">
      <w:start w:val="1"/>
      <w:numFmt w:val="bullet"/>
      <w:lvlText w:val=""/>
      <w:lvlJc w:val="left"/>
      <w:pPr>
        <w:ind w:left="720" w:hanging="360"/>
      </w:pPr>
      <w:rPr>
        <w:rFonts w:ascii="Symbol" w:hAnsi="Symbol" w:hint="default"/>
        <w:b w:val="0"/>
      </w:rPr>
    </w:lvl>
    <w:lvl w:ilvl="1" w:tplc="0409001B">
      <w:start w:val="1"/>
      <w:numFmt w:val="lowerRoman"/>
      <w:lvlText w:val="%2."/>
      <w:lvlJc w:val="right"/>
      <w:pPr>
        <w:ind w:left="1440" w:hanging="360"/>
      </w:pPr>
    </w:lvl>
    <w:lvl w:ilvl="2" w:tplc="303A7EB8">
      <w:start w:val="1"/>
      <w:numFmt w:val="lowerLetter"/>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BBAC402A">
      <w:start w:val="1"/>
      <w:numFmt w:val="lowerLetter"/>
      <w:lvlText w:val="%6."/>
      <w:lvlJc w:val="right"/>
      <w:pPr>
        <w:ind w:left="4320" w:hanging="180"/>
      </w:pPr>
      <w:rPr>
        <w:rFonts w:ascii="Times New Roman" w:eastAsia="Times New Roman" w:hAnsi="Times New Roman" w:cs="Times New Roman"/>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6AB7B28"/>
    <w:multiLevelType w:val="hybridMultilevel"/>
    <w:tmpl w:val="ED10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B9E55AC"/>
    <w:multiLevelType w:val="hybridMultilevel"/>
    <w:tmpl w:val="F3B2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5B14B76"/>
    <w:multiLevelType w:val="hybridMultilevel"/>
    <w:tmpl w:val="79BA62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77530ABE"/>
    <w:multiLevelType w:val="hybridMultilevel"/>
    <w:tmpl w:val="A928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C051613"/>
    <w:multiLevelType w:val="hybridMultilevel"/>
    <w:tmpl w:val="0EEAA93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0">
    <w:nsid w:val="7EAB4003"/>
    <w:multiLevelType w:val="hybridMultilevel"/>
    <w:tmpl w:val="9B9AFD96"/>
    <w:lvl w:ilvl="0" w:tplc="04090019">
      <w:start w:val="1"/>
      <w:numFmt w:val="lowerLetter"/>
      <w:lvlText w:val="%1."/>
      <w:lvlJc w:val="left"/>
      <w:pPr>
        <w:ind w:left="720" w:hanging="360"/>
      </w:pPr>
      <w:rPr>
        <w:rFonts w:hint="default"/>
        <w:b w:val="0"/>
      </w:rPr>
    </w:lvl>
    <w:lvl w:ilvl="1" w:tplc="0409001B">
      <w:start w:val="1"/>
      <w:numFmt w:val="lowerRoman"/>
      <w:lvlText w:val="%2."/>
      <w:lvlJc w:val="right"/>
      <w:pPr>
        <w:ind w:left="1440" w:hanging="360"/>
      </w:pPr>
    </w:lvl>
    <w:lvl w:ilvl="2" w:tplc="303A7EB8">
      <w:start w:val="1"/>
      <w:numFmt w:val="lowerLetter"/>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BBAC402A">
      <w:start w:val="1"/>
      <w:numFmt w:val="lowerLetter"/>
      <w:lvlText w:val="%6."/>
      <w:lvlJc w:val="right"/>
      <w:pPr>
        <w:ind w:left="4320" w:hanging="180"/>
      </w:pPr>
      <w:rPr>
        <w:rFonts w:ascii="Times New Roman" w:eastAsia="Times New Roman" w:hAnsi="Times New Roman" w:cs="Times New Roman"/>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EC64D78"/>
    <w:multiLevelType w:val="hybridMultilevel"/>
    <w:tmpl w:val="5AEA5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num>
  <w:num w:numId="2">
    <w:abstractNumId w:val="59"/>
  </w:num>
  <w:num w:numId="3">
    <w:abstractNumId w:val="39"/>
  </w:num>
  <w:num w:numId="4">
    <w:abstractNumId w:val="14"/>
  </w:num>
  <w:num w:numId="5">
    <w:abstractNumId w:val="12"/>
  </w:num>
  <w:num w:numId="6">
    <w:abstractNumId w:val="37"/>
  </w:num>
  <w:num w:numId="7">
    <w:abstractNumId w:val="29"/>
  </w:num>
  <w:num w:numId="8">
    <w:abstractNumId w:val="32"/>
  </w:num>
  <w:num w:numId="9">
    <w:abstractNumId w:val="11"/>
  </w:num>
  <w:num w:numId="10">
    <w:abstractNumId w:val="34"/>
  </w:num>
  <w:num w:numId="11">
    <w:abstractNumId w:val="8"/>
  </w:num>
  <w:num w:numId="12">
    <w:abstractNumId w:val="47"/>
  </w:num>
  <w:num w:numId="13">
    <w:abstractNumId w:val="43"/>
  </w:num>
  <w:num w:numId="14">
    <w:abstractNumId w:val="48"/>
  </w:num>
  <w:num w:numId="15">
    <w:abstractNumId w:val="38"/>
  </w:num>
  <w:num w:numId="16">
    <w:abstractNumId w:val="18"/>
  </w:num>
  <w:num w:numId="17">
    <w:abstractNumId w:val="52"/>
  </w:num>
  <w:num w:numId="18">
    <w:abstractNumId w:val="40"/>
  </w:num>
  <w:num w:numId="19">
    <w:abstractNumId w:val="49"/>
  </w:num>
  <w:num w:numId="20">
    <w:abstractNumId w:val="41"/>
  </w:num>
  <w:num w:numId="21">
    <w:abstractNumId w:val="23"/>
  </w:num>
  <w:num w:numId="22">
    <w:abstractNumId w:val="42"/>
  </w:num>
  <w:num w:numId="23">
    <w:abstractNumId w:val="27"/>
  </w:num>
  <w:num w:numId="24">
    <w:abstractNumId w:val="60"/>
  </w:num>
  <w:num w:numId="25">
    <w:abstractNumId w:val="44"/>
  </w:num>
  <w:num w:numId="26">
    <w:abstractNumId w:val="31"/>
  </w:num>
  <w:num w:numId="27">
    <w:abstractNumId w:val="19"/>
  </w:num>
  <w:num w:numId="28">
    <w:abstractNumId w:val="54"/>
  </w:num>
  <w:num w:numId="29">
    <w:abstractNumId w:val="51"/>
  </w:num>
  <w:num w:numId="30">
    <w:abstractNumId w:val="36"/>
  </w:num>
  <w:num w:numId="31">
    <w:abstractNumId w:val="50"/>
  </w:num>
  <w:num w:numId="32">
    <w:abstractNumId w:val="15"/>
  </w:num>
  <w:num w:numId="33">
    <w:abstractNumId w:val="3"/>
  </w:num>
  <w:num w:numId="34">
    <w:abstractNumId w:val="53"/>
  </w:num>
  <w:num w:numId="35">
    <w:abstractNumId w:val="0"/>
  </w:num>
  <w:num w:numId="36">
    <w:abstractNumId w:val="30"/>
  </w:num>
  <w:num w:numId="37">
    <w:abstractNumId w:val="9"/>
  </w:num>
  <w:num w:numId="38">
    <w:abstractNumId w:val="7"/>
  </w:num>
  <w:num w:numId="39">
    <w:abstractNumId w:val="6"/>
  </w:num>
  <w:num w:numId="40">
    <w:abstractNumId w:val="58"/>
  </w:num>
  <w:num w:numId="41">
    <w:abstractNumId w:val="61"/>
  </w:num>
  <w:num w:numId="42">
    <w:abstractNumId w:val="24"/>
  </w:num>
  <w:num w:numId="43">
    <w:abstractNumId w:val="16"/>
  </w:num>
  <w:num w:numId="44">
    <w:abstractNumId w:val="20"/>
  </w:num>
  <w:num w:numId="45">
    <w:abstractNumId w:val="28"/>
  </w:num>
  <w:num w:numId="46">
    <w:abstractNumId w:val="57"/>
  </w:num>
  <w:num w:numId="47">
    <w:abstractNumId w:val="4"/>
  </w:num>
  <w:num w:numId="48">
    <w:abstractNumId w:val="21"/>
  </w:num>
  <w:num w:numId="49">
    <w:abstractNumId w:val="45"/>
  </w:num>
  <w:num w:numId="50">
    <w:abstractNumId w:val="2"/>
  </w:num>
  <w:num w:numId="51">
    <w:abstractNumId w:val="56"/>
  </w:num>
  <w:num w:numId="52">
    <w:abstractNumId w:val="33"/>
  </w:num>
  <w:num w:numId="53">
    <w:abstractNumId w:val="26"/>
  </w:num>
  <w:num w:numId="54">
    <w:abstractNumId w:val="13"/>
  </w:num>
  <w:num w:numId="55">
    <w:abstractNumId w:val="46"/>
  </w:num>
  <w:num w:numId="56">
    <w:abstractNumId w:val="35"/>
  </w:num>
  <w:num w:numId="57">
    <w:abstractNumId w:val="5"/>
  </w:num>
  <w:num w:numId="58">
    <w:abstractNumId w:val="22"/>
  </w:num>
  <w:num w:numId="59">
    <w:abstractNumId w:val="10"/>
  </w:num>
  <w:num w:numId="60">
    <w:abstractNumId w:val="17"/>
  </w:num>
  <w:num w:numId="61">
    <w:abstractNumId w:val="1"/>
  </w:num>
  <w:num w:numId="62">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7170"/>
    <o:shapelayout v:ext="edit">
      <o:rules v:ext="edit">
        <o:r id="V:Rule1" type="connector" idref="#AutoShape 4"/>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561"/>
    <w:rsid w:val="00016BC9"/>
    <w:rsid w:val="000333DF"/>
    <w:rsid w:val="0008572D"/>
    <w:rsid w:val="0015383E"/>
    <w:rsid w:val="00156318"/>
    <w:rsid w:val="001657F3"/>
    <w:rsid w:val="001942BA"/>
    <w:rsid w:val="001969B8"/>
    <w:rsid w:val="001A2568"/>
    <w:rsid w:val="001A276C"/>
    <w:rsid w:val="001F4F79"/>
    <w:rsid w:val="002333BB"/>
    <w:rsid w:val="00260A09"/>
    <w:rsid w:val="0027611B"/>
    <w:rsid w:val="002B24D3"/>
    <w:rsid w:val="002B7520"/>
    <w:rsid w:val="003D0D16"/>
    <w:rsid w:val="003D58B0"/>
    <w:rsid w:val="004025F3"/>
    <w:rsid w:val="004D6561"/>
    <w:rsid w:val="00571032"/>
    <w:rsid w:val="00576446"/>
    <w:rsid w:val="00587D9A"/>
    <w:rsid w:val="00592D60"/>
    <w:rsid w:val="005A0827"/>
    <w:rsid w:val="005B5345"/>
    <w:rsid w:val="005E29F4"/>
    <w:rsid w:val="0060072F"/>
    <w:rsid w:val="0066487F"/>
    <w:rsid w:val="006A01D5"/>
    <w:rsid w:val="007279F4"/>
    <w:rsid w:val="007545A8"/>
    <w:rsid w:val="007B0BDB"/>
    <w:rsid w:val="007B6089"/>
    <w:rsid w:val="007E199D"/>
    <w:rsid w:val="007E78A9"/>
    <w:rsid w:val="0097073A"/>
    <w:rsid w:val="009B3779"/>
    <w:rsid w:val="009F0C33"/>
    <w:rsid w:val="00AB1DD8"/>
    <w:rsid w:val="00B23EA2"/>
    <w:rsid w:val="00B8443F"/>
    <w:rsid w:val="00C07A37"/>
    <w:rsid w:val="00C220A3"/>
    <w:rsid w:val="00C3748E"/>
    <w:rsid w:val="00CA6276"/>
    <w:rsid w:val="00CB106E"/>
    <w:rsid w:val="00CD1DDF"/>
    <w:rsid w:val="00CD41ED"/>
    <w:rsid w:val="00D446CC"/>
    <w:rsid w:val="00DA35CD"/>
    <w:rsid w:val="00E166A7"/>
    <w:rsid w:val="00E44139"/>
    <w:rsid w:val="00EC5B59"/>
    <w:rsid w:val="00EE7A8C"/>
    <w:rsid w:val="00F4033A"/>
    <w:rsid w:val="00F76007"/>
    <w:rsid w:val="00FC1DFC"/>
    <w:rsid w:val="00FF09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76C"/>
    <w:pPr>
      <w:spacing w:after="200" w:line="276" w:lineRule="auto"/>
    </w:pPr>
    <w:rPr>
      <w:sz w:val="22"/>
      <w:szCs w:val="22"/>
    </w:rPr>
  </w:style>
  <w:style w:type="paragraph" w:styleId="Heading1">
    <w:name w:val="heading 1"/>
    <w:basedOn w:val="Normal"/>
    <w:next w:val="Normal"/>
    <w:link w:val="Heading1Char"/>
    <w:uiPriority w:val="99"/>
    <w:qFormat/>
    <w:rsid w:val="0066487F"/>
    <w:pPr>
      <w:keepNext/>
      <w:keepLines/>
      <w:spacing w:before="480" w:after="0" w:line="240" w:lineRule="auto"/>
      <w:outlineLvl w:val="0"/>
    </w:pPr>
    <w:rPr>
      <w:rFonts w:ascii="Arial" w:eastAsia="Times New Roman" w:hAnsi="Arial"/>
      <w:b/>
      <w:bCs/>
      <w:color w:val="365F91"/>
      <w:sz w:val="28"/>
      <w:szCs w:val="28"/>
    </w:rPr>
  </w:style>
  <w:style w:type="paragraph" w:styleId="Heading2">
    <w:name w:val="heading 2"/>
    <w:basedOn w:val="Normal"/>
    <w:next w:val="Normal"/>
    <w:link w:val="Heading2Char"/>
    <w:uiPriority w:val="99"/>
    <w:qFormat/>
    <w:rsid w:val="0066487F"/>
    <w:pPr>
      <w:keepNext/>
      <w:keepLines/>
      <w:spacing w:before="200" w:after="0" w:line="240" w:lineRule="auto"/>
      <w:outlineLvl w:val="1"/>
    </w:pPr>
    <w:rPr>
      <w:rFonts w:ascii="Arial" w:eastAsia="Times New Roman" w:hAnsi="Arial"/>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6487F"/>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66487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Title">
    <w:name w:val="Title"/>
    <w:basedOn w:val="Normal"/>
    <w:next w:val="Normal"/>
    <w:link w:val="TitleChar"/>
    <w:uiPriority w:val="10"/>
    <w:qFormat/>
    <w:rsid w:val="0066487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66487F"/>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6487F"/>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66487F"/>
    <w:rPr>
      <w:rFonts w:ascii="Cambria" w:eastAsia="Times New Roman" w:hAnsi="Cambria" w:cs="Times New Roman"/>
      <w:i/>
      <w:iCs/>
      <w:color w:val="4F81BD"/>
      <w:spacing w:val="15"/>
      <w:sz w:val="24"/>
      <w:szCs w:val="24"/>
    </w:rPr>
  </w:style>
  <w:style w:type="character" w:customStyle="1" w:styleId="Heading1Char">
    <w:name w:val="Heading 1 Char"/>
    <w:basedOn w:val="DefaultParagraphFont"/>
    <w:link w:val="Heading1"/>
    <w:uiPriority w:val="99"/>
    <w:rsid w:val="0066487F"/>
    <w:rPr>
      <w:rFonts w:ascii="Arial" w:eastAsia="Times New Roman" w:hAnsi="Arial" w:cs="Times New Roman"/>
      <w:b/>
      <w:bCs/>
      <w:color w:val="365F91"/>
      <w:sz w:val="28"/>
      <w:szCs w:val="28"/>
    </w:rPr>
  </w:style>
  <w:style w:type="character" w:customStyle="1" w:styleId="Heading2Char">
    <w:name w:val="Heading 2 Char"/>
    <w:basedOn w:val="DefaultParagraphFont"/>
    <w:link w:val="Heading2"/>
    <w:uiPriority w:val="99"/>
    <w:rsid w:val="0066487F"/>
    <w:rPr>
      <w:rFonts w:ascii="Arial" w:eastAsia="Times New Roman" w:hAnsi="Arial" w:cs="Times New Roman"/>
      <w:b/>
      <w:bCs/>
      <w:color w:val="4F81BD"/>
      <w:sz w:val="26"/>
      <w:szCs w:val="26"/>
    </w:rPr>
  </w:style>
  <w:style w:type="character" w:styleId="FootnoteReference">
    <w:name w:val="footnote reference"/>
    <w:aliases w:val="Footnote Reference-BSA-AML"/>
    <w:semiHidden/>
    <w:rsid w:val="00C220A3"/>
    <w:rPr>
      <w:rFonts w:ascii="Times New Roman" w:hAnsi="Times New Roman"/>
      <w:szCs w:val="24"/>
    </w:rPr>
  </w:style>
  <w:style w:type="paragraph" w:styleId="FootnoteText">
    <w:name w:val="footnote text"/>
    <w:basedOn w:val="Normal"/>
    <w:link w:val="FootnoteTextChar"/>
    <w:semiHidden/>
    <w:rsid w:val="00C220A3"/>
    <w:pPr>
      <w:widowControl w:val="0"/>
      <w:spacing w:after="0" w:line="240" w:lineRule="auto"/>
    </w:pPr>
    <w:rPr>
      <w:rFonts w:ascii="Courier" w:eastAsia="Times New Roman" w:hAnsi="Courier"/>
      <w:snapToGrid w:val="0"/>
      <w:sz w:val="20"/>
      <w:szCs w:val="20"/>
    </w:rPr>
  </w:style>
  <w:style w:type="character" w:customStyle="1" w:styleId="FootnoteTextChar">
    <w:name w:val="Footnote Text Char"/>
    <w:basedOn w:val="DefaultParagraphFont"/>
    <w:link w:val="FootnoteText"/>
    <w:semiHidden/>
    <w:rsid w:val="00C220A3"/>
    <w:rPr>
      <w:rFonts w:ascii="Courier" w:eastAsia="Times New Roman" w:hAnsi="Courier" w:cs="Times New Roman"/>
      <w:snapToGrid w:val="0"/>
      <w:sz w:val="20"/>
      <w:szCs w:val="20"/>
    </w:rPr>
  </w:style>
  <w:style w:type="paragraph" w:styleId="ListParagraph">
    <w:name w:val="List Paragraph"/>
    <w:basedOn w:val="Normal"/>
    <w:uiPriority w:val="34"/>
    <w:qFormat/>
    <w:rsid w:val="00C220A3"/>
    <w:pPr>
      <w:widowControl w:val="0"/>
      <w:spacing w:after="0" w:line="240" w:lineRule="auto"/>
      <w:ind w:left="720"/>
      <w:contextualSpacing/>
    </w:pPr>
    <w:rPr>
      <w:rFonts w:ascii="Courier" w:eastAsia="Times New Roman" w:hAnsi="Courier"/>
      <w:snapToGrid w:val="0"/>
      <w:sz w:val="24"/>
      <w:szCs w:val="20"/>
    </w:rPr>
  </w:style>
  <w:style w:type="character" w:styleId="Hyperlink">
    <w:name w:val="Hyperlink"/>
    <w:basedOn w:val="DefaultParagraphFont"/>
    <w:uiPriority w:val="99"/>
    <w:unhideWhenUsed/>
    <w:rsid w:val="00C220A3"/>
    <w:rPr>
      <w:color w:val="0000FF"/>
      <w:u w:val="single"/>
    </w:rPr>
  </w:style>
  <w:style w:type="paragraph" w:customStyle="1" w:styleId="CM147">
    <w:name w:val="CM147"/>
    <w:basedOn w:val="Normal"/>
    <w:next w:val="Normal"/>
    <w:uiPriority w:val="99"/>
    <w:rsid w:val="00C220A3"/>
    <w:pPr>
      <w:autoSpaceDE w:val="0"/>
      <w:autoSpaceDN w:val="0"/>
      <w:adjustRightInd w:val="0"/>
      <w:spacing w:after="0" w:line="240" w:lineRule="auto"/>
    </w:pPr>
    <w:rPr>
      <w:rFonts w:ascii="Times New Roman" w:eastAsia="Times New Roman" w:hAnsi="Times New Roman"/>
      <w:sz w:val="24"/>
      <w:szCs w:val="24"/>
    </w:rPr>
  </w:style>
  <w:style w:type="paragraph" w:customStyle="1" w:styleId="CM1">
    <w:name w:val="CM1"/>
    <w:basedOn w:val="Normal"/>
    <w:next w:val="Normal"/>
    <w:uiPriority w:val="99"/>
    <w:rsid w:val="00C220A3"/>
    <w:pPr>
      <w:autoSpaceDE w:val="0"/>
      <w:autoSpaceDN w:val="0"/>
      <w:adjustRightInd w:val="0"/>
      <w:spacing w:after="0" w:line="276" w:lineRule="atLeast"/>
    </w:pPr>
    <w:rPr>
      <w:rFonts w:ascii="Times New Roman" w:eastAsia="Times New Roman" w:hAnsi="Times New Roman"/>
      <w:sz w:val="24"/>
      <w:szCs w:val="24"/>
    </w:rPr>
  </w:style>
  <w:style w:type="character" w:styleId="CommentReference">
    <w:name w:val="annotation reference"/>
    <w:basedOn w:val="DefaultParagraphFont"/>
    <w:uiPriority w:val="99"/>
    <w:unhideWhenUsed/>
    <w:rsid w:val="00C220A3"/>
    <w:rPr>
      <w:sz w:val="16"/>
      <w:szCs w:val="16"/>
    </w:rPr>
  </w:style>
  <w:style w:type="paragraph" w:styleId="CommentText">
    <w:name w:val="annotation text"/>
    <w:basedOn w:val="Normal"/>
    <w:link w:val="CommentTextChar"/>
    <w:uiPriority w:val="99"/>
    <w:unhideWhenUsed/>
    <w:rsid w:val="00C220A3"/>
    <w:pPr>
      <w:spacing w:line="240" w:lineRule="auto"/>
    </w:pPr>
    <w:rPr>
      <w:sz w:val="20"/>
      <w:szCs w:val="20"/>
    </w:rPr>
  </w:style>
  <w:style w:type="character" w:customStyle="1" w:styleId="CommentTextChar">
    <w:name w:val="Comment Text Char"/>
    <w:basedOn w:val="DefaultParagraphFont"/>
    <w:link w:val="CommentText"/>
    <w:uiPriority w:val="99"/>
    <w:rsid w:val="00C220A3"/>
    <w:rPr>
      <w:rFonts w:ascii="Calibri" w:eastAsia="Calibri" w:hAnsi="Calibri" w:cs="Times New Roman"/>
      <w:sz w:val="20"/>
      <w:szCs w:val="20"/>
    </w:rPr>
  </w:style>
  <w:style w:type="paragraph" w:styleId="NormalWeb">
    <w:name w:val="Normal (Web)"/>
    <w:basedOn w:val="Normal"/>
    <w:uiPriority w:val="99"/>
    <w:unhideWhenUsed/>
    <w:rsid w:val="0008572D"/>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08572D"/>
    <w:rPr>
      <w:b/>
      <w:bCs/>
    </w:rPr>
  </w:style>
  <w:style w:type="paragraph" w:customStyle="1" w:styleId="Default">
    <w:name w:val="Default"/>
    <w:rsid w:val="0008572D"/>
    <w:pPr>
      <w:autoSpaceDE w:val="0"/>
      <w:autoSpaceDN w:val="0"/>
      <w:adjustRightInd w:val="0"/>
    </w:pPr>
    <w:rPr>
      <w:rFonts w:ascii="Times New Roman" w:hAnsi="Times New Roman"/>
      <w:color w:val="000000"/>
      <w:sz w:val="24"/>
      <w:szCs w:val="24"/>
    </w:rPr>
  </w:style>
  <w:style w:type="paragraph" w:customStyle="1" w:styleId="CM184">
    <w:name w:val="CM184"/>
    <w:basedOn w:val="Default"/>
    <w:next w:val="Default"/>
    <w:uiPriority w:val="99"/>
    <w:rsid w:val="0008572D"/>
    <w:rPr>
      <w:color w:val="auto"/>
    </w:rPr>
  </w:style>
  <w:style w:type="paragraph" w:customStyle="1" w:styleId="Body-BSA-AML">
    <w:name w:val="Body-BSA-AML"/>
    <w:link w:val="Body-BSA-AMLChar"/>
    <w:rsid w:val="0008572D"/>
    <w:pPr>
      <w:tabs>
        <w:tab w:val="left" w:pos="360"/>
      </w:tabs>
      <w:spacing w:after="200"/>
    </w:pPr>
    <w:rPr>
      <w:rFonts w:ascii="Times New Roman" w:eastAsia="Times New Roman" w:hAnsi="Times New Roman"/>
      <w:sz w:val="24"/>
    </w:rPr>
  </w:style>
  <w:style w:type="character" w:customStyle="1" w:styleId="Body-BSA-AMLChar">
    <w:name w:val="Body-BSA-AML Char"/>
    <w:basedOn w:val="DefaultParagraphFont"/>
    <w:link w:val="Body-BSA-AML"/>
    <w:rsid w:val="0008572D"/>
    <w:rPr>
      <w:rFonts w:ascii="Times New Roman" w:eastAsia="Times New Roman" w:hAnsi="Times New Roman"/>
      <w:sz w:val="24"/>
      <w:lang w:val="en-US" w:eastAsia="en-US" w:bidi="ar-SA"/>
    </w:rPr>
  </w:style>
  <w:style w:type="paragraph" w:styleId="TOCHeading">
    <w:name w:val="TOC Heading"/>
    <w:basedOn w:val="Heading1"/>
    <w:next w:val="Normal"/>
    <w:uiPriority w:val="39"/>
    <w:semiHidden/>
    <w:unhideWhenUsed/>
    <w:qFormat/>
    <w:rsid w:val="002333BB"/>
    <w:pPr>
      <w:spacing w:line="276" w:lineRule="auto"/>
      <w:outlineLvl w:val="9"/>
    </w:pPr>
    <w:rPr>
      <w:rFonts w:ascii="Cambria" w:hAnsi="Cambria"/>
      <w:lang w:eastAsia="ja-JP"/>
    </w:rPr>
  </w:style>
  <w:style w:type="paragraph" w:styleId="TOC1">
    <w:name w:val="toc 1"/>
    <w:basedOn w:val="Normal"/>
    <w:next w:val="Normal"/>
    <w:autoRedefine/>
    <w:uiPriority w:val="39"/>
    <w:unhideWhenUsed/>
    <w:rsid w:val="002333BB"/>
    <w:pPr>
      <w:spacing w:after="100"/>
    </w:pPr>
  </w:style>
  <w:style w:type="paragraph" w:styleId="TOC2">
    <w:name w:val="toc 2"/>
    <w:basedOn w:val="Normal"/>
    <w:next w:val="Normal"/>
    <w:autoRedefine/>
    <w:uiPriority w:val="39"/>
    <w:unhideWhenUsed/>
    <w:rsid w:val="002333BB"/>
    <w:pPr>
      <w:tabs>
        <w:tab w:val="right" w:leader="dot" w:pos="9350"/>
      </w:tabs>
      <w:spacing w:after="0" w:line="240" w:lineRule="auto"/>
      <w:ind w:left="216"/>
    </w:pPr>
  </w:style>
  <w:style w:type="paragraph" w:styleId="Footer">
    <w:name w:val="footer"/>
    <w:basedOn w:val="Normal"/>
    <w:link w:val="FooterChar"/>
    <w:uiPriority w:val="99"/>
    <w:unhideWhenUsed/>
    <w:rsid w:val="00E44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139"/>
  </w:style>
  <w:style w:type="character" w:styleId="FollowedHyperlink">
    <w:name w:val="FollowedHyperlink"/>
    <w:basedOn w:val="DefaultParagraphFont"/>
    <w:uiPriority w:val="99"/>
    <w:semiHidden/>
    <w:unhideWhenUsed/>
    <w:rsid w:val="005B5345"/>
    <w:rPr>
      <w:color w:val="800080"/>
      <w:u w:val="single"/>
    </w:rPr>
  </w:style>
  <w:style w:type="paragraph" w:styleId="CommentSubject">
    <w:name w:val="annotation subject"/>
    <w:basedOn w:val="CommentText"/>
    <w:next w:val="CommentText"/>
    <w:link w:val="CommentSubjectChar"/>
    <w:uiPriority w:val="99"/>
    <w:semiHidden/>
    <w:unhideWhenUsed/>
    <w:rsid w:val="00016BC9"/>
    <w:rPr>
      <w:b/>
      <w:bCs/>
    </w:rPr>
  </w:style>
  <w:style w:type="character" w:customStyle="1" w:styleId="CommentSubjectChar">
    <w:name w:val="Comment Subject Char"/>
    <w:basedOn w:val="CommentTextChar"/>
    <w:link w:val="CommentSubject"/>
    <w:uiPriority w:val="99"/>
    <w:semiHidden/>
    <w:rsid w:val="00016BC9"/>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76C"/>
    <w:pPr>
      <w:spacing w:after="200" w:line="276" w:lineRule="auto"/>
    </w:pPr>
    <w:rPr>
      <w:sz w:val="22"/>
      <w:szCs w:val="22"/>
    </w:rPr>
  </w:style>
  <w:style w:type="paragraph" w:styleId="Heading1">
    <w:name w:val="heading 1"/>
    <w:basedOn w:val="Normal"/>
    <w:next w:val="Normal"/>
    <w:link w:val="Heading1Char"/>
    <w:uiPriority w:val="99"/>
    <w:qFormat/>
    <w:rsid w:val="0066487F"/>
    <w:pPr>
      <w:keepNext/>
      <w:keepLines/>
      <w:spacing w:before="480" w:after="0" w:line="240" w:lineRule="auto"/>
      <w:outlineLvl w:val="0"/>
    </w:pPr>
    <w:rPr>
      <w:rFonts w:ascii="Arial" w:eastAsia="Times New Roman" w:hAnsi="Arial"/>
      <w:b/>
      <w:bCs/>
      <w:color w:val="365F91"/>
      <w:sz w:val="28"/>
      <w:szCs w:val="28"/>
    </w:rPr>
  </w:style>
  <w:style w:type="paragraph" w:styleId="Heading2">
    <w:name w:val="heading 2"/>
    <w:basedOn w:val="Normal"/>
    <w:next w:val="Normal"/>
    <w:link w:val="Heading2Char"/>
    <w:uiPriority w:val="99"/>
    <w:qFormat/>
    <w:rsid w:val="0066487F"/>
    <w:pPr>
      <w:keepNext/>
      <w:keepLines/>
      <w:spacing w:before="200" w:after="0" w:line="240" w:lineRule="auto"/>
      <w:outlineLvl w:val="1"/>
    </w:pPr>
    <w:rPr>
      <w:rFonts w:ascii="Arial" w:eastAsia="Times New Roman" w:hAnsi="Arial"/>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6487F"/>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66487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Title">
    <w:name w:val="Title"/>
    <w:basedOn w:val="Normal"/>
    <w:next w:val="Normal"/>
    <w:link w:val="TitleChar"/>
    <w:uiPriority w:val="10"/>
    <w:qFormat/>
    <w:rsid w:val="0066487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66487F"/>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6487F"/>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66487F"/>
    <w:rPr>
      <w:rFonts w:ascii="Cambria" w:eastAsia="Times New Roman" w:hAnsi="Cambria" w:cs="Times New Roman"/>
      <w:i/>
      <w:iCs/>
      <w:color w:val="4F81BD"/>
      <w:spacing w:val="15"/>
      <w:sz w:val="24"/>
      <w:szCs w:val="24"/>
    </w:rPr>
  </w:style>
  <w:style w:type="character" w:customStyle="1" w:styleId="Heading1Char">
    <w:name w:val="Heading 1 Char"/>
    <w:basedOn w:val="DefaultParagraphFont"/>
    <w:link w:val="Heading1"/>
    <w:uiPriority w:val="99"/>
    <w:rsid w:val="0066487F"/>
    <w:rPr>
      <w:rFonts w:ascii="Arial" w:eastAsia="Times New Roman" w:hAnsi="Arial" w:cs="Times New Roman"/>
      <w:b/>
      <w:bCs/>
      <w:color w:val="365F91"/>
      <w:sz w:val="28"/>
      <w:szCs w:val="28"/>
    </w:rPr>
  </w:style>
  <w:style w:type="character" w:customStyle="1" w:styleId="Heading2Char">
    <w:name w:val="Heading 2 Char"/>
    <w:basedOn w:val="DefaultParagraphFont"/>
    <w:link w:val="Heading2"/>
    <w:uiPriority w:val="99"/>
    <w:rsid w:val="0066487F"/>
    <w:rPr>
      <w:rFonts w:ascii="Arial" w:eastAsia="Times New Roman" w:hAnsi="Arial" w:cs="Times New Roman"/>
      <w:b/>
      <w:bCs/>
      <w:color w:val="4F81BD"/>
      <w:sz w:val="26"/>
      <w:szCs w:val="26"/>
    </w:rPr>
  </w:style>
  <w:style w:type="character" w:styleId="FootnoteReference">
    <w:name w:val="footnote reference"/>
    <w:aliases w:val="Footnote Reference-BSA-AML"/>
    <w:semiHidden/>
    <w:rsid w:val="00C220A3"/>
    <w:rPr>
      <w:rFonts w:ascii="Times New Roman" w:hAnsi="Times New Roman"/>
      <w:szCs w:val="24"/>
    </w:rPr>
  </w:style>
  <w:style w:type="paragraph" w:styleId="FootnoteText">
    <w:name w:val="footnote text"/>
    <w:basedOn w:val="Normal"/>
    <w:link w:val="FootnoteTextChar"/>
    <w:semiHidden/>
    <w:rsid w:val="00C220A3"/>
    <w:pPr>
      <w:widowControl w:val="0"/>
      <w:spacing w:after="0" w:line="240" w:lineRule="auto"/>
    </w:pPr>
    <w:rPr>
      <w:rFonts w:ascii="Courier" w:eastAsia="Times New Roman" w:hAnsi="Courier"/>
      <w:snapToGrid w:val="0"/>
      <w:sz w:val="20"/>
      <w:szCs w:val="20"/>
    </w:rPr>
  </w:style>
  <w:style w:type="character" w:customStyle="1" w:styleId="FootnoteTextChar">
    <w:name w:val="Footnote Text Char"/>
    <w:basedOn w:val="DefaultParagraphFont"/>
    <w:link w:val="FootnoteText"/>
    <w:semiHidden/>
    <w:rsid w:val="00C220A3"/>
    <w:rPr>
      <w:rFonts w:ascii="Courier" w:eastAsia="Times New Roman" w:hAnsi="Courier" w:cs="Times New Roman"/>
      <w:snapToGrid w:val="0"/>
      <w:sz w:val="20"/>
      <w:szCs w:val="20"/>
    </w:rPr>
  </w:style>
  <w:style w:type="paragraph" w:styleId="ListParagraph">
    <w:name w:val="List Paragraph"/>
    <w:basedOn w:val="Normal"/>
    <w:uiPriority w:val="34"/>
    <w:qFormat/>
    <w:rsid w:val="00C220A3"/>
    <w:pPr>
      <w:widowControl w:val="0"/>
      <w:spacing w:after="0" w:line="240" w:lineRule="auto"/>
      <w:ind w:left="720"/>
      <w:contextualSpacing/>
    </w:pPr>
    <w:rPr>
      <w:rFonts w:ascii="Courier" w:eastAsia="Times New Roman" w:hAnsi="Courier"/>
      <w:snapToGrid w:val="0"/>
      <w:sz w:val="24"/>
      <w:szCs w:val="20"/>
    </w:rPr>
  </w:style>
  <w:style w:type="character" w:styleId="Hyperlink">
    <w:name w:val="Hyperlink"/>
    <w:basedOn w:val="DefaultParagraphFont"/>
    <w:uiPriority w:val="99"/>
    <w:unhideWhenUsed/>
    <w:rsid w:val="00C220A3"/>
    <w:rPr>
      <w:color w:val="0000FF"/>
      <w:u w:val="single"/>
    </w:rPr>
  </w:style>
  <w:style w:type="paragraph" w:customStyle="1" w:styleId="CM147">
    <w:name w:val="CM147"/>
    <w:basedOn w:val="Normal"/>
    <w:next w:val="Normal"/>
    <w:uiPriority w:val="99"/>
    <w:rsid w:val="00C220A3"/>
    <w:pPr>
      <w:autoSpaceDE w:val="0"/>
      <w:autoSpaceDN w:val="0"/>
      <w:adjustRightInd w:val="0"/>
      <w:spacing w:after="0" w:line="240" w:lineRule="auto"/>
    </w:pPr>
    <w:rPr>
      <w:rFonts w:ascii="Times New Roman" w:eastAsia="Times New Roman" w:hAnsi="Times New Roman"/>
      <w:sz w:val="24"/>
      <w:szCs w:val="24"/>
    </w:rPr>
  </w:style>
  <w:style w:type="paragraph" w:customStyle="1" w:styleId="CM1">
    <w:name w:val="CM1"/>
    <w:basedOn w:val="Normal"/>
    <w:next w:val="Normal"/>
    <w:uiPriority w:val="99"/>
    <w:rsid w:val="00C220A3"/>
    <w:pPr>
      <w:autoSpaceDE w:val="0"/>
      <w:autoSpaceDN w:val="0"/>
      <w:adjustRightInd w:val="0"/>
      <w:spacing w:after="0" w:line="276" w:lineRule="atLeast"/>
    </w:pPr>
    <w:rPr>
      <w:rFonts w:ascii="Times New Roman" w:eastAsia="Times New Roman" w:hAnsi="Times New Roman"/>
      <w:sz w:val="24"/>
      <w:szCs w:val="24"/>
    </w:rPr>
  </w:style>
  <w:style w:type="character" w:styleId="CommentReference">
    <w:name w:val="annotation reference"/>
    <w:basedOn w:val="DefaultParagraphFont"/>
    <w:uiPriority w:val="99"/>
    <w:unhideWhenUsed/>
    <w:rsid w:val="00C220A3"/>
    <w:rPr>
      <w:sz w:val="16"/>
      <w:szCs w:val="16"/>
    </w:rPr>
  </w:style>
  <w:style w:type="paragraph" w:styleId="CommentText">
    <w:name w:val="annotation text"/>
    <w:basedOn w:val="Normal"/>
    <w:link w:val="CommentTextChar"/>
    <w:uiPriority w:val="99"/>
    <w:unhideWhenUsed/>
    <w:rsid w:val="00C220A3"/>
    <w:pPr>
      <w:spacing w:line="240" w:lineRule="auto"/>
    </w:pPr>
    <w:rPr>
      <w:sz w:val="20"/>
      <w:szCs w:val="20"/>
    </w:rPr>
  </w:style>
  <w:style w:type="character" w:customStyle="1" w:styleId="CommentTextChar">
    <w:name w:val="Comment Text Char"/>
    <w:basedOn w:val="DefaultParagraphFont"/>
    <w:link w:val="CommentText"/>
    <w:uiPriority w:val="99"/>
    <w:rsid w:val="00C220A3"/>
    <w:rPr>
      <w:rFonts w:ascii="Calibri" w:eastAsia="Calibri" w:hAnsi="Calibri" w:cs="Times New Roman"/>
      <w:sz w:val="20"/>
      <w:szCs w:val="20"/>
    </w:rPr>
  </w:style>
  <w:style w:type="paragraph" w:styleId="NormalWeb">
    <w:name w:val="Normal (Web)"/>
    <w:basedOn w:val="Normal"/>
    <w:uiPriority w:val="99"/>
    <w:unhideWhenUsed/>
    <w:rsid w:val="0008572D"/>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08572D"/>
    <w:rPr>
      <w:b/>
      <w:bCs/>
    </w:rPr>
  </w:style>
  <w:style w:type="paragraph" w:customStyle="1" w:styleId="Default">
    <w:name w:val="Default"/>
    <w:rsid w:val="0008572D"/>
    <w:pPr>
      <w:autoSpaceDE w:val="0"/>
      <w:autoSpaceDN w:val="0"/>
      <w:adjustRightInd w:val="0"/>
    </w:pPr>
    <w:rPr>
      <w:rFonts w:ascii="Times New Roman" w:hAnsi="Times New Roman"/>
      <w:color w:val="000000"/>
      <w:sz w:val="24"/>
      <w:szCs w:val="24"/>
    </w:rPr>
  </w:style>
  <w:style w:type="paragraph" w:customStyle="1" w:styleId="CM184">
    <w:name w:val="CM184"/>
    <w:basedOn w:val="Default"/>
    <w:next w:val="Default"/>
    <w:uiPriority w:val="99"/>
    <w:rsid w:val="0008572D"/>
    <w:rPr>
      <w:color w:val="auto"/>
    </w:rPr>
  </w:style>
  <w:style w:type="paragraph" w:customStyle="1" w:styleId="Body-BSA-AML">
    <w:name w:val="Body-BSA-AML"/>
    <w:link w:val="Body-BSA-AMLChar"/>
    <w:rsid w:val="0008572D"/>
    <w:pPr>
      <w:tabs>
        <w:tab w:val="left" w:pos="360"/>
      </w:tabs>
      <w:spacing w:after="200"/>
    </w:pPr>
    <w:rPr>
      <w:rFonts w:ascii="Times New Roman" w:eastAsia="Times New Roman" w:hAnsi="Times New Roman"/>
      <w:sz w:val="24"/>
    </w:rPr>
  </w:style>
  <w:style w:type="character" w:customStyle="1" w:styleId="Body-BSA-AMLChar">
    <w:name w:val="Body-BSA-AML Char"/>
    <w:basedOn w:val="DefaultParagraphFont"/>
    <w:link w:val="Body-BSA-AML"/>
    <w:rsid w:val="0008572D"/>
    <w:rPr>
      <w:rFonts w:ascii="Times New Roman" w:eastAsia="Times New Roman" w:hAnsi="Times New Roman"/>
      <w:sz w:val="24"/>
      <w:lang w:val="en-US" w:eastAsia="en-US" w:bidi="ar-SA"/>
    </w:rPr>
  </w:style>
  <w:style w:type="paragraph" w:styleId="TOCHeading">
    <w:name w:val="TOC Heading"/>
    <w:basedOn w:val="Heading1"/>
    <w:next w:val="Normal"/>
    <w:uiPriority w:val="39"/>
    <w:semiHidden/>
    <w:unhideWhenUsed/>
    <w:qFormat/>
    <w:rsid w:val="002333BB"/>
    <w:pPr>
      <w:spacing w:line="276" w:lineRule="auto"/>
      <w:outlineLvl w:val="9"/>
    </w:pPr>
    <w:rPr>
      <w:rFonts w:ascii="Cambria" w:hAnsi="Cambria"/>
      <w:lang w:eastAsia="ja-JP"/>
    </w:rPr>
  </w:style>
  <w:style w:type="paragraph" w:styleId="TOC1">
    <w:name w:val="toc 1"/>
    <w:basedOn w:val="Normal"/>
    <w:next w:val="Normal"/>
    <w:autoRedefine/>
    <w:uiPriority w:val="39"/>
    <w:unhideWhenUsed/>
    <w:rsid w:val="002333BB"/>
    <w:pPr>
      <w:spacing w:after="100"/>
    </w:pPr>
  </w:style>
  <w:style w:type="paragraph" w:styleId="TOC2">
    <w:name w:val="toc 2"/>
    <w:basedOn w:val="Normal"/>
    <w:next w:val="Normal"/>
    <w:autoRedefine/>
    <w:uiPriority w:val="39"/>
    <w:unhideWhenUsed/>
    <w:rsid w:val="002333BB"/>
    <w:pPr>
      <w:tabs>
        <w:tab w:val="right" w:leader="dot" w:pos="9350"/>
      </w:tabs>
      <w:spacing w:after="0" w:line="240" w:lineRule="auto"/>
      <w:ind w:left="216"/>
    </w:pPr>
  </w:style>
  <w:style w:type="paragraph" w:styleId="Footer">
    <w:name w:val="footer"/>
    <w:basedOn w:val="Normal"/>
    <w:link w:val="FooterChar"/>
    <w:uiPriority w:val="99"/>
    <w:unhideWhenUsed/>
    <w:rsid w:val="00E44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139"/>
  </w:style>
  <w:style w:type="character" w:styleId="FollowedHyperlink">
    <w:name w:val="FollowedHyperlink"/>
    <w:basedOn w:val="DefaultParagraphFont"/>
    <w:uiPriority w:val="99"/>
    <w:semiHidden/>
    <w:unhideWhenUsed/>
    <w:rsid w:val="005B5345"/>
    <w:rPr>
      <w:color w:val="800080"/>
      <w:u w:val="single"/>
    </w:rPr>
  </w:style>
  <w:style w:type="paragraph" w:styleId="CommentSubject">
    <w:name w:val="annotation subject"/>
    <w:basedOn w:val="CommentText"/>
    <w:next w:val="CommentText"/>
    <w:link w:val="CommentSubjectChar"/>
    <w:uiPriority w:val="99"/>
    <w:semiHidden/>
    <w:unhideWhenUsed/>
    <w:rsid w:val="00016BC9"/>
    <w:rPr>
      <w:b/>
      <w:bCs/>
    </w:rPr>
  </w:style>
  <w:style w:type="character" w:customStyle="1" w:styleId="CommentSubjectChar">
    <w:name w:val="Comment Subject Char"/>
    <w:basedOn w:val="CommentTextChar"/>
    <w:link w:val="CommentSubject"/>
    <w:uiPriority w:val="99"/>
    <w:semiHidden/>
    <w:rsid w:val="00016BC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215237">
      <w:bodyDiv w:val="1"/>
      <w:marLeft w:val="0"/>
      <w:marRight w:val="0"/>
      <w:marTop w:val="0"/>
      <w:marBottom w:val="0"/>
      <w:divBdr>
        <w:top w:val="none" w:sz="0" w:space="0" w:color="auto"/>
        <w:left w:val="none" w:sz="0" w:space="0" w:color="auto"/>
        <w:bottom w:val="none" w:sz="0" w:space="0" w:color="auto"/>
        <w:right w:val="none" w:sz="0" w:space="0" w:color="auto"/>
      </w:divBdr>
    </w:div>
    <w:div w:id="463501881">
      <w:bodyDiv w:val="1"/>
      <w:marLeft w:val="0"/>
      <w:marRight w:val="0"/>
      <w:marTop w:val="0"/>
      <w:marBottom w:val="0"/>
      <w:divBdr>
        <w:top w:val="none" w:sz="0" w:space="0" w:color="auto"/>
        <w:left w:val="none" w:sz="0" w:space="0" w:color="auto"/>
        <w:bottom w:val="none" w:sz="0" w:space="0" w:color="auto"/>
        <w:right w:val="none" w:sz="0" w:space="0" w:color="auto"/>
      </w:divBdr>
    </w:div>
    <w:div w:id="184123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ncen.gov"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armr.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admin.csbs.org/"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fincen.gov/news_room/nr/pdf/20120629.pdf" TargetMode="External"/><Relationship Id="rId2" Type="http://schemas.openxmlformats.org/officeDocument/2006/relationships/hyperlink" Target="http://www.fincen.gov/news_room/rp/mortgagefraud.html" TargetMode="External"/><Relationship Id="rId1" Type="http://schemas.openxmlformats.org/officeDocument/2006/relationships/hyperlink" Target="http://www.fincen.gov/news_room/rp/mortgagefraud.html" TargetMode="External"/><Relationship Id="rId5" Type="http://schemas.openxmlformats.org/officeDocument/2006/relationships/hyperlink" Target="http://www.gpo.gov/fdsys/pkg/USCODE-2011-title31/pdf/USCODE-2011-title31-subtitleIV-chap53-subchapII-sec5312.pdf" TargetMode="External"/><Relationship Id="rId4" Type="http://schemas.openxmlformats.org/officeDocument/2006/relationships/hyperlink" Target="http://ecfr.gpoaccess.gov/cgi/t/text/text-idx?c=ecfr&amp;sid=7511cbde3306ffbcef6e6ff4c72f8b86&amp;rgn=div8&amp;view=text&amp;node=31:3.1.6.1.2.3.3.12&amp;idno=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SBS Document" ma:contentTypeID="0x010100A74E2E38B04E98469605609619225C4A00AF24719219B1A04E8C5330977377201E" ma:contentTypeVersion="1" ma:contentTypeDescription="" ma:contentTypeScope="" ma:versionID="f6455bc75ac5f3571f8dbe31b74b0421">
  <xsd:schema xmlns:xsd="http://www.w3.org/2001/XMLSchema" xmlns:p="http://schemas.microsoft.com/office/2006/metadata/properties" targetNamespace="http://schemas.microsoft.com/office/2006/metadata/properties" ma:root="true" ma:fieldsID="8f2c0c9f574d116490dff49720533a5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A13058D-0674-42C2-A7A8-4584B0D86C24}"/>
</file>

<file path=customXml/itemProps2.xml><?xml version="1.0" encoding="utf-8"?>
<ds:datastoreItem xmlns:ds="http://schemas.openxmlformats.org/officeDocument/2006/customXml" ds:itemID="{39852169-8855-4FAE-A20A-689E238B7EF7}"/>
</file>

<file path=customXml/itemProps3.xml><?xml version="1.0" encoding="utf-8"?>
<ds:datastoreItem xmlns:ds="http://schemas.openxmlformats.org/officeDocument/2006/customXml" ds:itemID="{8BBBF547-ABA6-4976-A351-EC7DAF8255CC}"/>
</file>

<file path=customXml/itemProps4.xml><?xml version="1.0" encoding="utf-8"?>
<ds:datastoreItem xmlns:ds="http://schemas.openxmlformats.org/officeDocument/2006/customXml" ds:itemID="{9FB45E65-B951-4CC3-BE23-0C50DD76CE39}"/>
</file>

<file path=docProps/app.xml><?xml version="1.0" encoding="utf-8"?>
<Properties xmlns="http://schemas.openxmlformats.org/officeDocument/2006/extended-properties" xmlns:vt="http://schemas.openxmlformats.org/officeDocument/2006/docPropsVTypes">
  <Template>Normal</Template>
  <TotalTime>2</TotalTime>
  <Pages>33</Pages>
  <Words>8464</Words>
  <Characters>48248</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Conference of State Bank Supervisors</Company>
  <LinksUpToDate>false</LinksUpToDate>
  <CharactersWithSpaces>56599</CharactersWithSpaces>
  <SharedDoc>false</SharedDoc>
  <HLinks>
    <vt:vector size="186" baseType="variant">
      <vt:variant>
        <vt:i4>2621477</vt:i4>
      </vt:variant>
      <vt:variant>
        <vt:i4>147</vt:i4>
      </vt:variant>
      <vt:variant>
        <vt:i4>0</vt:i4>
      </vt:variant>
      <vt:variant>
        <vt:i4>5</vt:i4>
      </vt:variant>
      <vt:variant>
        <vt:lpwstr>http://www.fincen.gov/</vt:lpwstr>
      </vt:variant>
      <vt:variant>
        <vt:lpwstr/>
      </vt:variant>
      <vt:variant>
        <vt:i4>1245237</vt:i4>
      </vt:variant>
      <vt:variant>
        <vt:i4>140</vt:i4>
      </vt:variant>
      <vt:variant>
        <vt:i4>0</vt:i4>
      </vt:variant>
      <vt:variant>
        <vt:i4>5</vt:i4>
      </vt:variant>
      <vt:variant>
        <vt:lpwstr/>
      </vt:variant>
      <vt:variant>
        <vt:lpwstr>_Toc335314208</vt:lpwstr>
      </vt:variant>
      <vt:variant>
        <vt:i4>1245237</vt:i4>
      </vt:variant>
      <vt:variant>
        <vt:i4>134</vt:i4>
      </vt:variant>
      <vt:variant>
        <vt:i4>0</vt:i4>
      </vt:variant>
      <vt:variant>
        <vt:i4>5</vt:i4>
      </vt:variant>
      <vt:variant>
        <vt:lpwstr/>
      </vt:variant>
      <vt:variant>
        <vt:lpwstr>_Toc335314207</vt:lpwstr>
      </vt:variant>
      <vt:variant>
        <vt:i4>1245237</vt:i4>
      </vt:variant>
      <vt:variant>
        <vt:i4>128</vt:i4>
      </vt:variant>
      <vt:variant>
        <vt:i4>0</vt:i4>
      </vt:variant>
      <vt:variant>
        <vt:i4>5</vt:i4>
      </vt:variant>
      <vt:variant>
        <vt:lpwstr/>
      </vt:variant>
      <vt:variant>
        <vt:lpwstr>_Toc335314206</vt:lpwstr>
      </vt:variant>
      <vt:variant>
        <vt:i4>1245237</vt:i4>
      </vt:variant>
      <vt:variant>
        <vt:i4>122</vt:i4>
      </vt:variant>
      <vt:variant>
        <vt:i4>0</vt:i4>
      </vt:variant>
      <vt:variant>
        <vt:i4>5</vt:i4>
      </vt:variant>
      <vt:variant>
        <vt:lpwstr/>
      </vt:variant>
      <vt:variant>
        <vt:lpwstr>_Toc335314205</vt:lpwstr>
      </vt:variant>
      <vt:variant>
        <vt:i4>1245237</vt:i4>
      </vt:variant>
      <vt:variant>
        <vt:i4>116</vt:i4>
      </vt:variant>
      <vt:variant>
        <vt:i4>0</vt:i4>
      </vt:variant>
      <vt:variant>
        <vt:i4>5</vt:i4>
      </vt:variant>
      <vt:variant>
        <vt:lpwstr/>
      </vt:variant>
      <vt:variant>
        <vt:lpwstr>_Toc335314204</vt:lpwstr>
      </vt:variant>
      <vt:variant>
        <vt:i4>1245237</vt:i4>
      </vt:variant>
      <vt:variant>
        <vt:i4>110</vt:i4>
      </vt:variant>
      <vt:variant>
        <vt:i4>0</vt:i4>
      </vt:variant>
      <vt:variant>
        <vt:i4>5</vt:i4>
      </vt:variant>
      <vt:variant>
        <vt:lpwstr/>
      </vt:variant>
      <vt:variant>
        <vt:lpwstr>_Toc335314203</vt:lpwstr>
      </vt:variant>
      <vt:variant>
        <vt:i4>1245237</vt:i4>
      </vt:variant>
      <vt:variant>
        <vt:i4>104</vt:i4>
      </vt:variant>
      <vt:variant>
        <vt:i4>0</vt:i4>
      </vt:variant>
      <vt:variant>
        <vt:i4>5</vt:i4>
      </vt:variant>
      <vt:variant>
        <vt:lpwstr/>
      </vt:variant>
      <vt:variant>
        <vt:lpwstr>_Toc335314202</vt:lpwstr>
      </vt:variant>
      <vt:variant>
        <vt:i4>1245237</vt:i4>
      </vt:variant>
      <vt:variant>
        <vt:i4>98</vt:i4>
      </vt:variant>
      <vt:variant>
        <vt:i4>0</vt:i4>
      </vt:variant>
      <vt:variant>
        <vt:i4>5</vt:i4>
      </vt:variant>
      <vt:variant>
        <vt:lpwstr/>
      </vt:variant>
      <vt:variant>
        <vt:lpwstr>_Toc335314201</vt:lpwstr>
      </vt:variant>
      <vt:variant>
        <vt:i4>1245237</vt:i4>
      </vt:variant>
      <vt:variant>
        <vt:i4>92</vt:i4>
      </vt:variant>
      <vt:variant>
        <vt:i4>0</vt:i4>
      </vt:variant>
      <vt:variant>
        <vt:i4>5</vt:i4>
      </vt:variant>
      <vt:variant>
        <vt:lpwstr/>
      </vt:variant>
      <vt:variant>
        <vt:lpwstr>_Toc335314200</vt:lpwstr>
      </vt:variant>
      <vt:variant>
        <vt:i4>1703990</vt:i4>
      </vt:variant>
      <vt:variant>
        <vt:i4>86</vt:i4>
      </vt:variant>
      <vt:variant>
        <vt:i4>0</vt:i4>
      </vt:variant>
      <vt:variant>
        <vt:i4>5</vt:i4>
      </vt:variant>
      <vt:variant>
        <vt:lpwstr/>
      </vt:variant>
      <vt:variant>
        <vt:lpwstr>_Toc335314199</vt:lpwstr>
      </vt:variant>
      <vt:variant>
        <vt:i4>1703990</vt:i4>
      </vt:variant>
      <vt:variant>
        <vt:i4>80</vt:i4>
      </vt:variant>
      <vt:variant>
        <vt:i4>0</vt:i4>
      </vt:variant>
      <vt:variant>
        <vt:i4>5</vt:i4>
      </vt:variant>
      <vt:variant>
        <vt:lpwstr/>
      </vt:variant>
      <vt:variant>
        <vt:lpwstr>_Toc335314198</vt:lpwstr>
      </vt:variant>
      <vt:variant>
        <vt:i4>1703990</vt:i4>
      </vt:variant>
      <vt:variant>
        <vt:i4>74</vt:i4>
      </vt:variant>
      <vt:variant>
        <vt:i4>0</vt:i4>
      </vt:variant>
      <vt:variant>
        <vt:i4>5</vt:i4>
      </vt:variant>
      <vt:variant>
        <vt:lpwstr/>
      </vt:variant>
      <vt:variant>
        <vt:lpwstr>_Toc335314197</vt:lpwstr>
      </vt:variant>
      <vt:variant>
        <vt:i4>1703990</vt:i4>
      </vt:variant>
      <vt:variant>
        <vt:i4>68</vt:i4>
      </vt:variant>
      <vt:variant>
        <vt:i4>0</vt:i4>
      </vt:variant>
      <vt:variant>
        <vt:i4>5</vt:i4>
      </vt:variant>
      <vt:variant>
        <vt:lpwstr/>
      </vt:variant>
      <vt:variant>
        <vt:lpwstr>_Toc335314196</vt:lpwstr>
      </vt:variant>
      <vt:variant>
        <vt:i4>1703990</vt:i4>
      </vt:variant>
      <vt:variant>
        <vt:i4>62</vt:i4>
      </vt:variant>
      <vt:variant>
        <vt:i4>0</vt:i4>
      </vt:variant>
      <vt:variant>
        <vt:i4>5</vt:i4>
      </vt:variant>
      <vt:variant>
        <vt:lpwstr/>
      </vt:variant>
      <vt:variant>
        <vt:lpwstr>_Toc335314195</vt:lpwstr>
      </vt:variant>
      <vt:variant>
        <vt:i4>1703990</vt:i4>
      </vt:variant>
      <vt:variant>
        <vt:i4>56</vt:i4>
      </vt:variant>
      <vt:variant>
        <vt:i4>0</vt:i4>
      </vt:variant>
      <vt:variant>
        <vt:i4>5</vt:i4>
      </vt:variant>
      <vt:variant>
        <vt:lpwstr/>
      </vt:variant>
      <vt:variant>
        <vt:lpwstr>_Toc335314194</vt:lpwstr>
      </vt:variant>
      <vt:variant>
        <vt:i4>1703990</vt:i4>
      </vt:variant>
      <vt:variant>
        <vt:i4>50</vt:i4>
      </vt:variant>
      <vt:variant>
        <vt:i4>0</vt:i4>
      </vt:variant>
      <vt:variant>
        <vt:i4>5</vt:i4>
      </vt:variant>
      <vt:variant>
        <vt:lpwstr/>
      </vt:variant>
      <vt:variant>
        <vt:lpwstr>_Toc335314193</vt:lpwstr>
      </vt:variant>
      <vt:variant>
        <vt:i4>1703990</vt:i4>
      </vt:variant>
      <vt:variant>
        <vt:i4>44</vt:i4>
      </vt:variant>
      <vt:variant>
        <vt:i4>0</vt:i4>
      </vt:variant>
      <vt:variant>
        <vt:i4>5</vt:i4>
      </vt:variant>
      <vt:variant>
        <vt:lpwstr/>
      </vt:variant>
      <vt:variant>
        <vt:lpwstr>_Toc335314192</vt:lpwstr>
      </vt:variant>
      <vt:variant>
        <vt:i4>1703990</vt:i4>
      </vt:variant>
      <vt:variant>
        <vt:i4>38</vt:i4>
      </vt:variant>
      <vt:variant>
        <vt:i4>0</vt:i4>
      </vt:variant>
      <vt:variant>
        <vt:i4>5</vt:i4>
      </vt:variant>
      <vt:variant>
        <vt:lpwstr/>
      </vt:variant>
      <vt:variant>
        <vt:lpwstr>_Toc335314191</vt:lpwstr>
      </vt:variant>
      <vt:variant>
        <vt:i4>1703990</vt:i4>
      </vt:variant>
      <vt:variant>
        <vt:i4>32</vt:i4>
      </vt:variant>
      <vt:variant>
        <vt:i4>0</vt:i4>
      </vt:variant>
      <vt:variant>
        <vt:i4>5</vt:i4>
      </vt:variant>
      <vt:variant>
        <vt:lpwstr/>
      </vt:variant>
      <vt:variant>
        <vt:lpwstr>_Toc335314190</vt:lpwstr>
      </vt:variant>
      <vt:variant>
        <vt:i4>1769526</vt:i4>
      </vt:variant>
      <vt:variant>
        <vt:i4>26</vt:i4>
      </vt:variant>
      <vt:variant>
        <vt:i4>0</vt:i4>
      </vt:variant>
      <vt:variant>
        <vt:i4>5</vt:i4>
      </vt:variant>
      <vt:variant>
        <vt:lpwstr/>
      </vt:variant>
      <vt:variant>
        <vt:lpwstr>_Toc335314189</vt:lpwstr>
      </vt:variant>
      <vt:variant>
        <vt:i4>1769526</vt:i4>
      </vt:variant>
      <vt:variant>
        <vt:i4>20</vt:i4>
      </vt:variant>
      <vt:variant>
        <vt:i4>0</vt:i4>
      </vt:variant>
      <vt:variant>
        <vt:i4>5</vt:i4>
      </vt:variant>
      <vt:variant>
        <vt:lpwstr/>
      </vt:variant>
      <vt:variant>
        <vt:lpwstr>_Toc335314188</vt:lpwstr>
      </vt:variant>
      <vt:variant>
        <vt:i4>1769526</vt:i4>
      </vt:variant>
      <vt:variant>
        <vt:i4>14</vt:i4>
      </vt:variant>
      <vt:variant>
        <vt:i4>0</vt:i4>
      </vt:variant>
      <vt:variant>
        <vt:i4>5</vt:i4>
      </vt:variant>
      <vt:variant>
        <vt:lpwstr/>
      </vt:variant>
      <vt:variant>
        <vt:lpwstr>_Toc335314187</vt:lpwstr>
      </vt:variant>
      <vt:variant>
        <vt:i4>1769526</vt:i4>
      </vt:variant>
      <vt:variant>
        <vt:i4>8</vt:i4>
      </vt:variant>
      <vt:variant>
        <vt:i4>0</vt:i4>
      </vt:variant>
      <vt:variant>
        <vt:i4>5</vt:i4>
      </vt:variant>
      <vt:variant>
        <vt:lpwstr/>
      </vt:variant>
      <vt:variant>
        <vt:lpwstr>_Toc335314186</vt:lpwstr>
      </vt:variant>
      <vt:variant>
        <vt:i4>4325376</vt:i4>
      </vt:variant>
      <vt:variant>
        <vt:i4>3</vt:i4>
      </vt:variant>
      <vt:variant>
        <vt:i4>0</vt:i4>
      </vt:variant>
      <vt:variant>
        <vt:i4>5</vt:i4>
      </vt:variant>
      <vt:variant>
        <vt:lpwstr>http://www.aarmr.org/</vt:lpwstr>
      </vt:variant>
      <vt:variant>
        <vt:lpwstr/>
      </vt:variant>
      <vt:variant>
        <vt:i4>5832792</vt:i4>
      </vt:variant>
      <vt:variant>
        <vt:i4>0</vt:i4>
      </vt:variant>
      <vt:variant>
        <vt:i4>0</vt:i4>
      </vt:variant>
      <vt:variant>
        <vt:i4>5</vt:i4>
      </vt:variant>
      <vt:variant>
        <vt:lpwstr>http://www.csbs.org/</vt:lpwstr>
      </vt:variant>
      <vt:variant>
        <vt:lpwstr/>
      </vt:variant>
      <vt:variant>
        <vt:i4>4784149</vt:i4>
      </vt:variant>
      <vt:variant>
        <vt:i4>12</vt:i4>
      </vt:variant>
      <vt:variant>
        <vt:i4>0</vt:i4>
      </vt:variant>
      <vt:variant>
        <vt:i4>5</vt:i4>
      </vt:variant>
      <vt:variant>
        <vt:lpwstr>http://www.gpo.gov/fdsys/pkg/USCODE-2011-title31/pdf/USCODE-2011-title31-subtitleIV-chap53-subchapII-sec5312.pdf</vt:lpwstr>
      </vt:variant>
      <vt:variant>
        <vt:lpwstr/>
      </vt:variant>
      <vt:variant>
        <vt:i4>393301</vt:i4>
      </vt:variant>
      <vt:variant>
        <vt:i4>9</vt:i4>
      </vt:variant>
      <vt:variant>
        <vt:i4>0</vt:i4>
      </vt:variant>
      <vt:variant>
        <vt:i4>5</vt:i4>
      </vt:variant>
      <vt:variant>
        <vt:lpwstr>http://ecfr.gpoaccess.gov/cgi/t/text/text-idx?c=ecfr&amp;sid=7511cbde3306ffbcef6e6ff4c72f8b86&amp;rgn=div8&amp;view=text&amp;node=31:3.1.6.1.2.3.3.12&amp;idno=31</vt:lpwstr>
      </vt:variant>
      <vt:variant>
        <vt:lpwstr/>
      </vt:variant>
      <vt:variant>
        <vt:i4>2293782</vt:i4>
      </vt:variant>
      <vt:variant>
        <vt:i4>6</vt:i4>
      </vt:variant>
      <vt:variant>
        <vt:i4>0</vt:i4>
      </vt:variant>
      <vt:variant>
        <vt:i4>5</vt:i4>
      </vt:variant>
      <vt:variant>
        <vt:lpwstr>http://www.fincen.gov/news_room/nr/pdf/20120629.pdf</vt:lpwstr>
      </vt:variant>
      <vt:variant>
        <vt:lpwstr/>
      </vt:variant>
      <vt:variant>
        <vt:i4>327806</vt:i4>
      </vt:variant>
      <vt:variant>
        <vt:i4>3</vt:i4>
      </vt:variant>
      <vt:variant>
        <vt:i4>0</vt:i4>
      </vt:variant>
      <vt:variant>
        <vt:i4>5</vt:i4>
      </vt:variant>
      <vt:variant>
        <vt:lpwstr>http://www.fincen.gov/news_room/rp/mortgagefraud.html</vt:lpwstr>
      </vt:variant>
      <vt:variant>
        <vt:lpwstr/>
      </vt:variant>
      <vt:variant>
        <vt:i4>327806</vt:i4>
      </vt:variant>
      <vt:variant>
        <vt:i4>0</vt:i4>
      </vt:variant>
      <vt:variant>
        <vt:i4>0</vt:i4>
      </vt:variant>
      <vt:variant>
        <vt:i4>5</vt:i4>
      </vt:variant>
      <vt:variant>
        <vt:lpwstr>http://www.fincen.gov/news_room/rp/mortgagefraud.html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MMC-BSA-Module</dc:title>
  <dc:creator>Lambert</dc:creator>
  <cp:lastModifiedBy>Matt Lambert</cp:lastModifiedBy>
  <cp:revision>2</cp:revision>
  <dcterms:created xsi:type="dcterms:W3CDTF">2012-10-04T19:31:00Z</dcterms:created>
  <dcterms:modified xsi:type="dcterms:W3CDTF">2012-10-04T19:31:00Z</dcterms:modified>
  <cp:contentType>CSBS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0x010100A74E2E38B04E98469605609619225C4A00AF24719219B1A04E8C5330977377201E</vt:lpwstr>
  </property>
</Properties>
</file>