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3C" w:rsidRPr="00E905FB" w:rsidRDefault="002252E7" w:rsidP="00E73CD4">
      <w:pPr>
        <w:pStyle w:val="Default"/>
        <w:spacing w:line="276" w:lineRule="auto"/>
        <w:rPr>
          <w:rFonts w:asciiTheme="minorHAnsi" w:hAnsiTheme="minorHAnsi"/>
        </w:rPr>
      </w:pPr>
      <w:r w:rsidRPr="00E905FB">
        <w:rPr>
          <w:rFonts w:asciiTheme="minorHAnsi" w:hAnsiTheme="minorHAnsi"/>
        </w:rPr>
        <w:t>Feb</w:t>
      </w:r>
      <w:r w:rsidR="00196E3C" w:rsidRPr="00E905FB">
        <w:rPr>
          <w:rFonts w:asciiTheme="minorHAnsi" w:hAnsiTheme="minorHAnsi"/>
        </w:rPr>
        <w:t>ruary 28, 2014</w:t>
      </w:r>
    </w:p>
    <w:p w:rsidR="00196E3C" w:rsidRPr="00E905FB" w:rsidRDefault="00196E3C" w:rsidP="00E73CD4">
      <w:pPr>
        <w:pStyle w:val="Default"/>
        <w:spacing w:line="276" w:lineRule="auto"/>
        <w:rPr>
          <w:rFonts w:asciiTheme="minorHAnsi" w:hAnsiTheme="minorHAnsi"/>
        </w:rPr>
      </w:pPr>
    </w:p>
    <w:p w:rsidR="00196E3C" w:rsidRPr="00E905FB" w:rsidRDefault="00196E3C" w:rsidP="00E73CD4">
      <w:pPr>
        <w:pStyle w:val="Default"/>
        <w:spacing w:line="276" w:lineRule="auto"/>
        <w:rPr>
          <w:rFonts w:asciiTheme="minorHAnsi" w:hAnsiTheme="minorHAnsi"/>
        </w:rPr>
      </w:pPr>
      <w:r w:rsidRPr="00E905FB">
        <w:rPr>
          <w:rFonts w:asciiTheme="minorHAnsi" w:hAnsiTheme="minorHAnsi"/>
        </w:rPr>
        <w:t xml:space="preserve">Monica Jackson </w:t>
      </w:r>
    </w:p>
    <w:p w:rsidR="00196E3C" w:rsidRPr="00E905FB" w:rsidRDefault="00196E3C" w:rsidP="00E73CD4">
      <w:pPr>
        <w:pStyle w:val="Default"/>
        <w:spacing w:line="276" w:lineRule="auto"/>
        <w:rPr>
          <w:rFonts w:asciiTheme="minorHAnsi" w:hAnsiTheme="minorHAnsi"/>
        </w:rPr>
      </w:pPr>
      <w:r w:rsidRPr="00E905FB">
        <w:rPr>
          <w:rFonts w:asciiTheme="minorHAnsi" w:hAnsiTheme="minorHAnsi"/>
        </w:rPr>
        <w:t xml:space="preserve">Office of the Executive Secretary </w:t>
      </w:r>
    </w:p>
    <w:p w:rsidR="00196E3C" w:rsidRPr="00E905FB" w:rsidRDefault="00196E3C" w:rsidP="00E73CD4">
      <w:pPr>
        <w:pStyle w:val="Default"/>
        <w:spacing w:line="276" w:lineRule="auto"/>
        <w:rPr>
          <w:rFonts w:asciiTheme="minorHAnsi" w:hAnsiTheme="minorHAnsi"/>
        </w:rPr>
      </w:pPr>
      <w:r w:rsidRPr="00E905FB">
        <w:rPr>
          <w:rFonts w:asciiTheme="minorHAnsi" w:hAnsiTheme="minorHAnsi"/>
        </w:rPr>
        <w:t xml:space="preserve">Bureau of Consumer Financial Protection </w:t>
      </w:r>
    </w:p>
    <w:p w:rsidR="00196E3C" w:rsidRPr="00E905FB" w:rsidRDefault="00196E3C" w:rsidP="00E73CD4">
      <w:pPr>
        <w:pStyle w:val="Default"/>
        <w:spacing w:line="276" w:lineRule="auto"/>
        <w:rPr>
          <w:rFonts w:asciiTheme="minorHAnsi" w:hAnsiTheme="minorHAnsi"/>
        </w:rPr>
      </w:pPr>
      <w:r w:rsidRPr="00E905FB">
        <w:rPr>
          <w:rFonts w:asciiTheme="minorHAnsi" w:hAnsiTheme="minorHAnsi"/>
        </w:rPr>
        <w:t xml:space="preserve">1700 G Street NW. </w:t>
      </w:r>
    </w:p>
    <w:p w:rsidR="006C7C6F" w:rsidRPr="00E905FB" w:rsidRDefault="00196E3C" w:rsidP="00E73CD4">
      <w:pPr>
        <w:pStyle w:val="NoSpacing"/>
        <w:spacing w:line="276" w:lineRule="auto"/>
        <w:rPr>
          <w:rFonts w:cs="Times New Roman"/>
          <w:bCs/>
          <w:sz w:val="24"/>
          <w:szCs w:val="24"/>
        </w:rPr>
      </w:pPr>
      <w:r w:rsidRPr="00E905FB">
        <w:rPr>
          <w:sz w:val="24"/>
          <w:szCs w:val="24"/>
        </w:rPr>
        <w:t>Washington, DC 20006</w:t>
      </w:r>
    </w:p>
    <w:p w:rsidR="00790798" w:rsidRPr="00E905FB" w:rsidRDefault="00F725FF" w:rsidP="00E73CD4">
      <w:pPr>
        <w:pStyle w:val="NoSpacing"/>
        <w:spacing w:line="276" w:lineRule="auto"/>
        <w:rPr>
          <w:sz w:val="24"/>
          <w:szCs w:val="24"/>
        </w:rPr>
      </w:pPr>
      <w:r w:rsidRPr="00E905FB">
        <w:rPr>
          <w:rFonts w:cs="Times New Roman"/>
          <w:bCs/>
          <w:sz w:val="24"/>
          <w:szCs w:val="24"/>
        </w:rPr>
        <w:t xml:space="preserve"> </w:t>
      </w:r>
    </w:p>
    <w:p w:rsidR="00196E3C" w:rsidRPr="00E905FB" w:rsidRDefault="00196E3C" w:rsidP="00E73CD4">
      <w:pPr>
        <w:pStyle w:val="NoSpacing"/>
        <w:spacing w:line="276" w:lineRule="auto"/>
        <w:rPr>
          <w:sz w:val="24"/>
          <w:szCs w:val="24"/>
        </w:rPr>
      </w:pPr>
      <w:r w:rsidRPr="00E905FB">
        <w:rPr>
          <w:sz w:val="24"/>
          <w:szCs w:val="24"/>
        </w:rPr>
        <w:t>To Whom It May Concern,</w:t>
      </w:r>
    </w:p>
    <w:p w:rsidR="00196E3C" w:rsidRPr="00E905FB" w:rsidRDefault="00196E3C" w:rsidP="00E73CD4">
      <w:pPr>
        <w:pStyle w:val="NoSpacing"/>
        <w:spacing w:line="276" w:lineRule="auto"/>
        <w:rPr>
          <w:sz w:val="24"/>
          <w:szCs w:val="24"/>
        </w:rPr>
      </w:pPr>
    </w:p>
    <w:p w:rsidR="00790798" w:rsidRPr="00E905FB" w:rsidRDefault="00196E3C" w:rsidP="00E73CD4">
      <w:pPr>
        <w:pStyle w:val="NoSpacing"/>
        <w:spacing w:line="276" w:lineRule="auto"/>
        <w:rPr>
          <w:sz w:val="24"/>
          <w:szCs w:val="24"/>
        </w:rPr>
      </w:pPr>
      <w:r w:rsidRPr="00E905FB">
        <w:rPr>
          <w:sz w:val="24"/>
          <w:szCs w:val="24"/>
        </w:rPr>
        <w:t>The Conference of State Bank Supervisors (</w:t>
      </w:r>
      <w:r w:rsidR="00A5726E" w:rsidRPr="00E905FB">
        <w:rPr>
          <w:sz w:val="24"/>
          <w:szCs w:val="24"/>
        </w:rPr>
        <w:t>“</w:t>
      </w:r>
      <w:r w:rsidRPr="00E905FB">
        <w:rPr>
          <w:sz w:val="24"/>
          <w:szCs w:val="24"/>
        </w:rPr>
        <w:t>CSBS</w:t>
      </w:r>
      <w:r w:rsidR="00A5726E" w:rsidRPr="00E905FB">
        <w:rPr>
          <w:sz w:val="24"/>
          <w:szCs w:val="24"/>
        </w:rPr>
        <w:t>”</w:t>
      </w:r>
      <w:r w:rsidRPr="00E905FB">
        <w:rPr>
          <w:sz w:val="24"/>
          <w:szCs w:val="24"/>
        </w:rPr>
        <w:t>) appreciates the opportunity to comment on the Consumer Financial Protection Bureau’s (</w:t>
      </w:r>
      <w:r w:rsidR="00A5726E" w:rsidRPr="00E905FB">
        <w:rPr>
          <w:sz w:val="24"/>
          <w:szCs w:val="24"/>
        </w:rPr>
        <w:t>“</w:t>
      </w:r>
      <w:r w:rsidRPr="00E905FB">
        <w:rPr>
          <w:sz w:val="24"/>
          <w:szCs w:val="24"/>
        </w:rPr>
        <w:t>CFPB</w:t>
      </w:r>
      <w:r w:rsidR="00A5726E" w:rsidRPr="00E905FB">
        <w:rPr>
          <w:sz w:val="24"/>
          <w:szCs w:val="24"/>
        </w:rPr>
        <w:t>”</w:t>
      </w:r>
      <w:r w:rsidRPr="00E905FB">
        <w:rPr>
          <w:sz w:val="24"/>
          <w:szCs w:val="24"/>
        </w:rPr>
        <w:t xml:space="preserve"> or </w:t>
      </w:r>
      <w:r w:rsidR="00A5726E" w:rsidRPr="00E905FB">
        <w:rPr>
          <w:sz w:val="24"/>
          <w:szCs w:val="24"/>
        </w:rPr>
        <w:t>“</w:t>
      </w:r>
      <w:r w:rsidRPr="00E905FB">
        <w:rPr>
          <w:sz w:val="24"/>
          <w:szCs w:val="24"/>
        </w:rPr>
        <w:t>Bureau</w:t>
      </w:r>
      <w:r w:rsidR="00A5726E" w:rsidRPr="00E905FB">
        <w:rPr>
          <w:sz w:val="24"/>
          <w:szCs w:val="24"/>
        </w:rPr>
        <w:t>”</w:t>
      </w:r>
      <w:r w:rsidRPr="00E905FB">
        <w:rPr>
          <w:sz w:val="24"/>
          <w:szCs w:val="24"/>
        </w:rPr>
        <w:t>) Advanced Notice of Proposed Rulemaking</w:t>
      </w:r>
      <w:r w:rsidR="00790798" w:rsidRPr="00E905FB">
        <w:rPr>
          <w:sz w:val="24"/>
          <w:szCs w:val="24"/>
        </w:rPr>
        <w:t xml:space="preserve"> (</w:t>
      </w:r>
      <w:r w:rsidR="00A5726E" w:rsidRPr="00E905FB">
        <w:rPr>
          <w:sz w:val="24"/>
          <w:szCs w:val="24"/>
        </w:rPr>
        <w:t>“</w:t>
      </w:r>
      <w:r w:rsidR="00790798" w:rsidRPr="00E905FB">
        <w:rPr>
          <w:sz w:val="24"/>
          <w:szCs w:val="24"/>
        </w:rPr>
        <w:t>ANPR</w:t>
      </w:r>
      <w:r w:rsidR="00A5726E" w:rsidRPr="00E905FB">
        <w:rPr>
          <w:sz w:val="24"/>
          <w:szCs w:val="24"/>
        </w:rPr>
        <w:t>”</w:t>
      </w:r>
      <w:r w:rsidR="00790798" w:rsidRPr="00E905FB">
        <w:rPr>
          <w:sz w:val="24"/>
          <w:szCs w:val="24"/>
        </w:rPr>
        <w:t>)</w:t>
      </w:r>
      <w:r w:rsidRPr="00E905FB">
        <w:rPr>
          <w:sz w:val="24"/>
          <w:szCs w:val="24"/>
        </w:rPr>
        <w:t xml:space="preserve"> on Debt </w:t>
      </w:r>
      <w:r w:rsidR="00743BF5" w:rsidRPr="00E905FB">
        <w:rPr>
          <w:sz w:val="24"/>
          <w:szCs w:val="24"/>
        </w:rPr>
        <w:t>C</w:t>
      </w:r>
      <w:r w:rsidRPr="00E905FB">
        <w:rPr>
          <w:sz w:val="24"/>
          <w:szCs w:val="24"/>
        </w:rPr>
        <w:t>ollection</w:t>
      </w:r>
      <w:r w:rsidR="00743BF5" w:rsidRPr="00E905FB">
        <w:rPr>
          <w:sz w:val="24"/>
          <w:szCs w:val="24"/>
        </w:rPr>
        <w:t xml:space="preserve"> (Regulation F)</w:t>
      </w:r>
      <w:r w:rsidR="00243843" w:rsidRPr="00E905FB">
        <w:rPr>
          <w:sz w:val="24"/>
          <w:szCs w:val="24"/>
        </w:rPr>
        <w:t xml:space="preserve">, </w:t>
      </w:r>
      <w:r w:rsidR="00617F27">
        <w:rPr>
          <w:sz w:val="24"/>
          <w:szCs w:val="24"/>
        </w:rPr>
        <w:t xml:space="preserve">RIN </w:t>
      </w:r>
      <w:r w:rsidR="00617F27" w:rsidRPr="00E905FB">
        <w:rPr>
          <w:rFonts w:cs="Times New Roman"/>
          <w:bCs/>
          <w:sz w:val="24"/>
          <w:szCs w:val="24"/>
        </w:rPr>
        <w:t>3170-AA41</w:t>
      </w:r>
      <w:r w:rsidRPr="00E905FB">
        <w:rPr>
          <w:sz w:val="24"/>
          <w:szCs w:val="24"/>
        </w:rPr>
        <w:t xml:space="preserve">. </w:t>
      </w:r>
      <w:r w:rsidR="00743BF5" w:rsidRPr="00E905FB">
        <w:rPr>
          <w:sz w:val="24"/>
          <w:szCs w:val="24"/>
        </w:rPr>
        <w:t xml:space="preserve"> </w:t>
      </w:r>
      <w:r w:rsidR="00A5726E" w:rsidRPr="00E905FB">
        <w:rPr>
          <w:sz w:val="24"/>
          <w:szCs w:val="24"/>
        </w:rPr>
        <w:t>State regulators applaud the CFPB for their continued collaboration with state regulators, fostering s</w:t>
      </w:r>
      <w:r w:rsidR="00743BF5" w:rsidRPr="00E905FB">
        <w:rPr>
          <w:sz w:val="24"/>
          <w:szCs w:val="24"/>
        </w:rPr>
        <w:t>tate-federal co</w:t>
      </w:r>
      <w:r w:rsidR="00A5726E" w:rsidRPr="00E905FB">
        <w:rPr>
          <w:sz w:val="24"/>
          <w:szCs w:val="24"/>
        </w:rPr>
        <w:t>ordination</w:t>
      </w:r>
      <w:r w:rsidR="00743BF5" w:rsidRPr="00E905FB">
        <w:rPr>
          <w:sz w:val="24"/>
          <w:szCs w:val="24"/>
        </w:rPr>
        <w:t xml:space="preserve"> </w:t>
      </w:r>
      <w:r w:rsidR="00A5726E" w:rsidRPr="00E905FB">
        <w:rPr>
          <w:sz w:val="24"/>
          <w:szCs w:val="24"/>
        </w:rPr>
        <w:t xml:space="preserve">that promotes comprehensive and efficient regulation.  </w:t>
      </w:r>
      <w:r w:rsidR="00E13A0A">
        <w:rPr>
          <w:sz w:val="24"/>
          <w:szCs w:val="24"/>
        </w:rPr>
        <w:t>In furtherance of this strong relationship</w:t>
      </w:r>
      <w:r w:rsidR="00A5726E" w:rsidRPr="00E905FB">
        <w:rPr>
          <w:sz w:val="24"/>
          <w:szCs w:val="24"/>
        </w:rPr>
        <w:t xml:space="preserve">, CSBS urges the Bureau to </w:t>
      </w:r>
      <w:r w:rsidR="00E905FB">
        <w:rPr>
          <w:sz w:val="24"/>
          <w:szCs w:val="24"/>
        </w:rPr>
        <w:t xml:space="preserve">also </w:t>
      </w:r>
      <w:r w:rsidR="00A5726E" w:rsidRPr="00E905FB">
        <w:rPr>
          <w:sz w:val="24"/>
          <w:szCs w:val="24"/>
        </w:rPr>
        <w:t>consider the comments of the North American Collection Agency Regulatory Association (NACARA), a body that represents state regulators who regulate debt collectors.</w:t>
      </w:r>
    </w:p>
    <w:p w:rsidR="00A5726E" w:rsidRPr="00E905FB" w:rsidRDefault="00A5726E" w:rsidP="00E73CD4">
      <w:pPr>
        <w:pStyle w:val="NoSpacing"/>
        <w:spacing w:line="276" w:lineRule="auto"/>
        <w:ind w:firstLine="720"/>
        <w:rPr>
          <w:sz w:val="24"/>
          <w:szCs w:val="24"/>
        </w:rPr>
      </w:pPr>
    </w:p>
    <w:p w:rsidR="00A5726E" w:rsidRDefault="00E905FB">
      <w:pPr>
        <w:rPr>
          <w:sz w:val="24"/>
          <w:szCs w:val="24"/>
        </w:rPr>
      </w:pPr>
      <w:r w:rsidRPr="00E905FB">
        <w:rPr>
          <w:sz w:val="24"/>
          <w:szCs w:val="24"/>
        </w:rPr>
        <w:t>Continued state-federal coordination for</w:t>
      </w:r>
      <w:r w:rsidR="00A5726E" w:rsidRPr="00E905FB">
        <w:rPr>
          <w:sz w:val="24"/>
          <w:szCs w:val="24"/>
        </w:rPr>
        <w:t xml:space="preserve"> </w:t>
      </w:r>
      <w:r w:rsidRPr="00E905FB">
        <w:rPr>
          <w:sz w:val="24"/>
          <w:szCs w:val="24"/>
        </w:rPr>
        <w:t>l</w:t>
      </w:r>
      <w:r w:rsidR="00A5726E" w:rsidRPr="00E905FB">
        <w:rPr>
          <w:sz w:val="24"/>
          <w:szCs w:val="24"/>
        </w:rPr>
        <w:t xml:space="preserve">arger </w:t>
      </w:r>
      <w:r w:rsidRPr="00E905FB">
        <w:rPr>
          <w:sz w:val="24"/>
          <w:szCs w:val="24"/>
        </w:rPr>
        <w:t>p</w:t>
      </w:r>
      <w:r w:rsidR="00A5726E" w:rsidRPr="00E905FB">
        <w:rPr>
          <w:sz w:val="24"/>
          <w:szCs w:val="24"/>
        </w:rPr>
        <w:t>articipant</w:t>
      </w:r>
      <w:r w:rsidRPr="00E905FB">
        <w:rPr>
          <w:sz w:val="24"/>
          <w:szCs w:val="24"/>
        </w:rPr>
        <w:t>s will yield a more effective and more efficient regulatory environme</w:t>
      </w:r>
      <w:r>
        <w:rPr>
          <w:sz w:val="24"/>
          <w:szCs w:val="24"/>
        </w:rPr>
        <w:t xml:space="preserve">nt.  </w:t>
      </w:r>
      <w:r w:rsidR="00196E3C" w:rsidRPr="00E905FB">
        <w:rPr>
          <w:sz w:val="24"/>
          <w:szCs w:val="24"/>
        </w:rPr>
        <w:t>Most states regulate, examine</w:t>
      </w:r>
      <w:r w:rsidR="00F50B0F">
        <w:rPr>
          <w:sz w:val="24"/>
          <w:szCs w:val="24"/>
        </w:rPr>
        <w:t>,</w:t>
      </w:r>
      <w:r w:rsidR="00196E3C" w:rsidRPr="00E905FB">
        <w:rPr>
          <w:sz w:val="24"/>
          <w:szCs w:val="24"/>
        </w:rPr>
        <w:t xml:space="preserve"> and/or license</w:t>
      </w:r>
      <w:r w:rsidR="00A5726E">
        <w:rPr>
          <w:sz w:val="24"/>
          <w:szCs w:val="24"/>
        </w:rPr>
        <w:t xml:space="preserve"> all non-depository industries potentially subject to CFPB larger participant designation, including</w:t>
      </w:r>
      <w:r w:rsidR="00196E3C" w:rsidRPr="00E905FB">
        <w:rPr>
          <w:sz w:val="24"/>
          <w:szCs w:val="24"/>
        </w:rPr>
        <w:t xml:space="preserve"> debt collecti</w:t>
      </w:r>
      <w:r w:rsidR="00A5726E">
        <w:rPr>
          <w:sz w:val="24"/>
          <w:szCs w:val="24"/>
        </w:rPr>
        <w:t>o</w:t>
      </w:r>
      <w:r w:rsidR="00196E3C" w:rsidRPr="00E905FB">
        <w:rPr>
          <w:sz w:val="24"/>
          <w:szCs w:val="24"/>
        </w:rPr>
        <w:t>n entities</w:t>
      </w:r>
      <w:r w:rsidR="00A5726E">
        <w:rPr>
          <w:sz w:val="24"/>
          <w:szCs w:val="24"/>
        </w:rPr>
        <w:t>.</w:t>
      </w:r>
      <w:r w:rsidR="00196E3C" w:rsidRPr="00E905FB">
        <w:rPr>
          <w:sz w:val="24"/>
          <w:szCs w:val="24"/>
        </w:rPr>
        <w:t xml:space="preserve"> </w:t>
      </w:r>
      <w:r w:rsidR="00A5726E">
        <w:rPr>
          <w:sz w:val="24"/>
          <w:szCs w:val="24"/>
        </w:rPr>
        <w:t xml:space="preserve">In the ANPR and other areas of regulatory coordination, the CFPB has proactively recognized </w:t>
      </w:r>
      <w:r w:rsidR="00F725FF" w:rsidRPr="00E905FB">
        <w:rPr>
          <w:sz w:val="24"/>
          <w:szCs w:val="24"/>
        </w:rPr>
        <w:t>the crucial role of state law</w:t>
      </w:r>
      <w:r w:rsidR="006C7C6F" w:rsidRPr="00E905FB">
        <w:rPr>
          <w:sz w:val="24"/>
          <w:szCs w:val="24"/>
        </w:rPr>
        <w:t xml:space="preserve"> and </w:t>
      </w:r>
      <w:r w:rsidR="00F725FF" w:rsidRPr="00E905FB">
        <w:rPr>
          <w:sz w:val="24"/>
          <w:szCs w:val="24"/>
        </w:rPr>
        <w:t>regulation</w:t>
      </w:r>
      <w:r w:rsidR="006C7C6F" w:rsidRPr="00E905FB">
        <w:rPr>
          <w:sz w:val="24"/>
          <w:szCs w:val="24"/>
        </w:rPr>
        <w:t xml:space="preserve"> relating to </w:t>
      </w:r>
      <w:r w:rsidR="00A5726E">
        <w:rPr>
          <w:sz w:val="24"/>
          <w:szCs w:val="24"/>
        </w:rPr>
        <w:t>these industries</w:t>
      </w:r>
      <w:r>
        <w:rPr>
          <w:sz w:val="24"/>
          <w:szCs w:val="24"/>
        </w:rPr>
        <w:t>.  This recognition is crucial to both the states’ and CFPB’s missions during a period of merging jurisdictions, a prime opportunity to maximize regulatory</w:t>
      </w:r>
      <w:r w:rsidR="00E13A0A">
        <w:rPr>
          <w:sz w:val="24"/>
          <w:szCs w:val="24"/>
        </w:rPr>
        <w:t xml:space="preserve"> resources and minimize duplicative industry requirements.  To that end, </w:t>
      </w:r>
      <w:r w:rsidR="008B61E6">
        <w:rPr>
          <w:sz w:val="24"/>
          <w:szCs w:val="24"/>
        </w:rPr>
        <w:t xml:space="preserve">if the CFPB requires a registration system for debt collectors, </w:t>
      </w:r>
      <w:r w:rsidR="00E13A0A">
        <w:rPr>
          <w:sz w:val="24"/>
          <w:szCs w:val="24"/>
        </w:rPr>
        <w:t>CSBS recommends the CFPB use the Nationwide Multi-State Licensing System &amp; Registry (“NMLS”</w:t>
      </w:r>
      <w:r w:rsidR="00B464FE">
        <w:rPr>
          <w:sz w:val="24"/>
          <w:szCs w:val="24"/>
        </w:rPr>
        <w:t xml:space="preserve"> or “System”</w:t>
      </w:r>
      <w:r w:rsidR="00E13A0A">
        <w:rPr>
          <w:sz w:val="24"/>
          <w:szCs w:val="24"/>
        </w:rPr>
        <w:t>).</w:t>
      </w:r>
      <w:r w:rsidR="00E13A0A">
        <w:rPr>
          <w:rStyle w:val="FootnoteReference"/>
          <w:sz w:val="24"/>
          <w:szCs w:val="24"/>
        </w:rPr>
        <w:footnoteReference w:id="1"/>
      </w:r>
    </w:p>
    <w:p w:rsidR="009A1F42" w:rsidRDefault="009A1F42">
      <w:pPr>
        <w:rPr>
          <w:sz w:val="24"/>
          <w:szCs w:val="24"/>
        </w:rPr>
      </w:pPr>
    </w:p>
    <w:p w:rsidR="00E13A0A" w:rsidRPr="00F02FF4" w:rsidRDefault="00E13A0A" w:rsidP="00F02FF4">
      <w:pPr>
        <w:pStyle w:val="Heading3"/>
        <w:ind w:firstLine="720"/>
        <w:rPr>
          <w:i/>
          <w:sz w:val="24"/>
          <w:szCs w:val="24"/>
        </w:rPr>
      </w:pPr>
      <w:r w:rsidRPr="00F02FF4">
        <w:rPr>
          <w:i/>
          <w:color w:val="auto"/>
          <w:sz w:val="24"/>
          <w:szCs w:val="24"/>
        </w:rPr>
        <w:lastRenderedPageBreak/>
        <w:t>CFPB Utilization of the NMLS Will Increase Regulatory and Supervisory Capabilities While Minimizing Duplicative Regulatory Requirements</w:t>
      </w:r>
      <w:r w:rsidR="00617F27" w:rsidRPr="00F02FF4">
        <w:rPr>
          <w:i/>
          <w:color w:val="auto"/>
          <w:sz w:val="24"/>
          <w:szCs w:val="24"/>
        </w:rPr>
        <w:t>.</w:t>
      </w:r>
    </w:p>
    <w:p w:rsidR="00E13A0A" w:rsidRDefault="00E13A0A" w:rsidP="00E73CD4">
      <w:pPr>
        <w:pStyle w:val="NoSpacing"/>
        <w:spacing w:line="276" w:lineRule="auto"/>
        <w:rPr>
          <w:sz w:val="24"/>
          <w:szCs w:val="24"/>
        </w:rPr>
      </w:pPr>
    </w:p>
    <w:p w:rsidR="00B464FE" w:rsidRDefault="00E13A0A" w:rsidP="00E73CD4">
      <w:pPr>
        <w:pStyle w:val="NoSpacing"/>
        <w:spacing w:line="276" w:lineRule="auto"/>
        <w:rPr>
          <w:sz w:val="24"/>
          <w:szCs w:val="24"/>
        </w:rPr>
      </w:pPr>
      <w:r w:rsidRPr="00E905FB">
        <w:rPr>
          <w:sz w:val="24"/>
          <w:szCs w:val="24"/>
        </w:rPr>
        <w:t xml:space="preserve">State regulators strongly recommend that </w:t>
      </w:r>
      <w:r w:rsidR="008B61E6">
        <w:rPr>
          <w:sz w:val="24"/>
          <w:szCs w:val="24"/>
        </w:rPr>
        <w:t>if</w:t>
      </w:r>
      <w:r w:rsidRPr="00E905FB">
        <w:rPr>
          <w:sz w:val="24"/>
          <w:szCs w:val="24"/>
        </w:rPr>
        <w:t xml:space="preserve"> registration of debt collectors</w:t>
      </w:r>
      <w:r w:rsidR="008B61E6">
        <w:rPr>
          <w:sz w:val="24"/>
          <w:szCs w:val="24"/>
        </w:rPr>
        <w:t xml:space="preserve"> is required by the CFPB, it be</w:t>
      </w:r>
      <w:r w:rsidRPr="00E905FB">
        <w:rPr>
          <w:sz w:val="24"/>
          <w:szCs w:val="24"/>
        </w:rPr>
        <w:t xml:space="preserve"> accomplished by utilizing NMLS</w:t>
      </w:r>
      <w:r>
        <w:rPr>
          <w:sz w:val="24"/>
          <w:szCs w:val="24"/>
        </w:rPr>
        <w:t>.  Question 160 of the ANPR sp</w:t>
      </w:r>
      <w:r w:rsidR="00B464FE">
        <w:rPr>
          <w:sz w:val="24"/>
          <w:szCs w:val="24"/>
        </w:rPr>
        <w:t xml:space="preserve">ecifically solicits comment on whether </w:t>
      </w:r>
      <w:r w:rsidR="00921B89">
        <w:rPr>
          <w:sz w:val="24"/>
          <w:szCs w:val="24"/>
        </w:rPr>
        <w:t>the CFPB</w:t>
      </w:r>
      <w:r w:rsidR="00B464FE">
        <w:rPr>
          <w:sz w:val="24"/>
          <w:szCs w:val="24"/>
        </w:rPr>
        <w:t xml:space="preserve"> should create a new system for </w:t>
      </w:r>
      <w:r w:rsidR="00F50B0F">
        <w:rPr>
          <w:sz w:val="24"/>
          <w:szCs w:val="24"/>
        </w:rPr>
        <w:t xml:space="preserve">registration of debt collectors, </w:t>
      </w:r>
      <w:r w:rsidR="00B464FE">
        <w:rPr>
          <w:sz w:val="24"/>
          <w:szCs w:val="24"/>
        </w:rPr>
        <w:t>or</w:t>
      </w:r>
      <w:r w:rsidR="00F50B0F">
        <w:rPr>
          <w:sz w:val="24"/>
          <w:szCs w:val="24"/>
        </w:rPr>
        <w:t xml:space="preserve"> if it</w:t>
      </w:r>
      <w:r w:rsidR="00B464FE">
        <w:rPr>
          <w:sz w:val="24"/>
          <w:szCs w:val="24"/>
        </w:rPr>
        <w:t xml:space="preserve"> should accomplish this goal using the NMLS.  Considering the </w:t>
      </w:r>
      <w:r w:rsidR="00921B89">
        <w:rPr>
          <w:sz w:val="24"/>
          <w:szCs w:val="24"/>
        </w:rPr>
        <w:t xml:space="preserve">success of the </w:t>
      </w:r>
      <w:r w:rsidR="00B464FE">
        <w:rPr>
          <w:sz w:val="24"/>
          <w:szCs w:val="24"/>
        </w:rPr>
        <w:t xml:space="preserve">NMLS, the </w:t>
      </w:r>
      <w:r w:rsidR="00921B89">
        <w:rPr>
          <w:sz w:val="24"/>
          <w:szCs w:val="24"/>
        </w:rPr>
        <w:t xml:space="preserve">widespread use of the </w:t>
      </w:r>
      <w:r w:rsidR="00B464FE">
        <w:rPr>
          <w:sz w:val="24"/>
          <w:szCs w:val="24"/>
        </w:rPr>
        <w:t>System, and Congress’s clear preference for utilizing existing resources to prevent duplicative regulatory requirements, the States believe</w:t>
      </w:r>
      <w:r w:rsidR="009934EE">
        <w:rPr>
          <w:sz w:val="24"/>
          <w:szCs w:val="24"/>
        </w:rPr>
        <w:t xml:space="preserve"> any potential</w:t>
      </w:r>
      <w:r w:rsidR="00B464FE">
        <w:rPr>
          <w:sz w:val="24"/>
          <w:szCs w:val="24"/>
        </w:rPr>
        <w:t xml:space="preserve"> federal debt collector registration requirements are a logical fit with the NMLS.</w:t>
      </w:r>
    </w:p>
    <w:p w:rsidR="00B464FE" w:rsidRDefault="00B464FE" w:rsidP="00E73CD4">
      <w:pPr>
        <w:pStyle w:val="NoSpacing"/>
        <w:spacing w:line="276" w:lineRule="auto"/>
        <w:rPr>
          <w:sz w:val="24"/>
          <w:szCs w:val="24"/>
        </w:rPr>
      </w:pPr>
    </w:p>
    <w:p w:rsidR="0091199A" w:rsidRPr="00E905FB" w:rsidRDefault="0091199A" w:rsidP="00E73CD4">
      <w:pPr>
        <w:pStyle w:val="Subtitle"/>
        <w:ind w:firstLine="720"/>
      </w:pPr>
      <w:r>
        <w:rPr>
          <w:b/>
          <w:color w:val="auto"/>
        </w:rPr>
        <w:t>The NMLS has a proven record of effectively and efficiently registering non-bank financial services providers, including debt collection entities.</w:t>
      </w:r>
    </w:p>
    <w:p w:rsidR="0091199A" w:rsidRDefault="0091199A" w:rsidP="00E73CD4">
      <w:pPr>
        <w:pStyle w:val="NoSpacing"/>
        <w:spacing w:line="276" w:lineRule="auto"/>
        <w:rPr>
          <w:sz w:val="24"/>
          <w:szCs w:val="24"/>
        </w:rPr>
      </w:pPr>
      <w:r w:rsidRPr="00E905FB">
        <w:rPr>
          <w:sz w:val="24"/>
          <w:szCs w:val="24"/>
        </w:rPr>
        <w:t xml:space="preserve">The NMLS is a proven and effective system. Originally developed as a state system for mortgage licensing, the system has emerged as a </w:t>
      </w:r>
      <w:r w:rsidR="009934EE">
        <w:rPr>
          <w:sz w:val="24"/>
          <w:szCs w:val="24"/>
        </w:rPr>
        <w:t>reliable</w:t>
      </w:r>
      <w:r w:rsidRPr="00E905FB">
        <w:rPr>
          <w:sz w:val="24"/>
          <w:szCs w:val="24"/>
        </w:rPr>
        <w:t xml:space="preserve"> platform for the ongoing collection and management of information related to non-depository financial entities.</w:t>
      </w:r>
      <w:r w:rsidRPr="0091199A">
        <w:rPr>
          <w:sz w:val="24"/>
          <w:szCs w:val="24"/>
        </w:rPr>
        <w:t xml:space="preserve"> </w:t>
      </w:r>
      <w:r>
        <w:rPr>
          <w:sz w:val="24"/>
          <w:szCs w:val="24"/>
        </w:rPr>
        <w:t xml:space="preserve"> </w:t>
      </w:r>
      <w:r w:rsidR="008B61E6">
        <w:rPr>
          <w:sz w:val="24"/>
          <w:szCs w:val="24"/>
        </w:rPr>
        <w:t>By utilizing the NMLS for licenses like debt collect</w:t>
      </w:r>
      <w:r w:rsidR="00921B89">
        <w:rPr>
          <w:sz w:val="24"/>
          <w:szCs w:val="24"/>
        </w:rPr>
        <w:t>ors</w:t>
      </w:r>
      <w:r w:rsidR="008B61E6">
        <w:rPr>
          <w:sz w:val="24"/>
          <w:szCs w:val="24"/>
        </w:rPr>
        <w:t>, t</w:t>
      </w:r>
      <w:r w:rsidRPr="00E905FB">
        <w:rPr>
          <w:sz w:val="24"/>
          <w:szCs w:val="24"/>
        </w:rPr>
        <w:t xml:space="preserve">he NMLS provides regulators with the ability to follow licensees across state lines and across multiple industries. </w:t>
      </w:r>
      <w:r w:rsidR="009934EE">
        <w:rPr>
          <w:sz w:val="24"/>
          <w:szCs w:val="24"/>
        </w:rPr>
        <w:t xml:space="preserve"> </w:t>
      </w:r>
      <w:r w:rsidRPr="00E905FB">
        <w:rPr>
          <w:sz w:val="24"/>
          <w:szCs w:val="24"/>
        </w:rPr>
        <w:t>For example, if someone is applying for a license in one industry, regulators are able to see an applicant’s licensing history in other jurisdictions</w:t>
      </w:r>
      <w:r w:rsidR="008B61E6">
        <w:rPr>
          <w:sz w:val="24"/>
          <w:szCs w:val="24"/>
        </w:rPr>
        <w:t xml:space="preserve"> and for other industry types</w:t>
      </w:r>
      <w:r w:rsidRPr="00E905FB">
        <w:rPr>
          <w:sz w:val="24"/>
          <w:szCs w:val="24"/>
        </w:rPr>
        <w:t>.  Central to this functionality is the NMLS Unique Identifier, a system-assigned identifier th</w:t>
      </w:r>
      <w:r w:rsidR="008B61E6">
        <w:rPr>
          <w:sz w:val="24"/>
          <w:szCs w:val="24"/>
        </w:rPr>
        <w:t>at stays with the licensee regardless of jurisdiction or license type.</w:t>
      </w:r>
    </w:p>
    <w:p w:rsidR="0091199A" w:rsidRDefault="0091199A" w:rsidP="00E73CD4">
      <w:pPr>
        <w:pStyle w:val="NoSpacing"/>
        <w:spacing w:line="276" w:lineRule="auto"/>
        <w:rPr>
          <w:sz w:val="24"/>
          <w:szCs w:val="24"/>
        </w:rPr>
      </w:pPr>
    </w:p>
    <w:p w:rsidR="009934EE" w:rsidRDefault="009934EE" w:rsidP="009934EE">
      <w:pPr>
        <w:pStyle w:val="NoSpacing"/>
        <w:spacing w:line="276" w:lineRule="auto"/>
        <w:rPr>
          <w:sz w:val="24"/>
          <w:szCs w:val="24"/>
        </w:rPr>
      </w:pPr>
      <w:r>
        <w:rPr>
          <w:sz w:val="24"/>
          <w:szCs w:val="24"/>
        </w:rPr>
        <w:t xml:space="preserve">In addition to the benefits garnered by regulators, </w:t>
      </w:r>
      <w:r w:rsidR="0091199A" w:rsidRPr="00E905FB">
        <w:rPr>
          <w:sz w:val="24"/>
          <w:szCs w:val="24"/>
        </w:rPr>
        <w:t xml:space="preserve">feedback from the mortgage industry and other non-depository industries has often been positive. </w:t>
      </w:r>
      <w:r>
        <w:rPr>
          <w:sz w:val="24"/>
          <w:szCs w:val="24"/>
        </w:rPr>
        <w:t xml:space="preserve"> </w:t>
      </w:r>
      <w:r w:rsidR="0091199A">
        <w:rPr>
          <w:sz w:val="24"/>
          <w:szCs w:val="24"/>
        </w:rPr>
        <w:t>Indeed, representatives of the money transmitter industry have advocated for the continued expanded use of NMLS, stating that widespread adoption of the system “would eliminate duplication of effort and opportunities for error.”</w:t>
      </w:r>
      <w:r w:rsidR="0091199A">
        <w:rPr>
          <w:rStyle w:val="FootnoteReference"/>
          <w:sz w:val="24"/>
          <w:szCs w:val="24"/>
        </w:rPr>
        <w:footnoteReference w:id="2"/>
      </w:r>
      <w:r w:rsidR="0091199A" w:rsidRPr="00E905FB">
        <w:rPr>
          <w:sz w:val="24"/>
          <w:szCs w:val="24"/>
        </w:rPr>
        <w:t xml:space="preserve"> The ongoing successful expansion of NMLS provides </w:t>
      </w:r>
      <w:r w:rsidRPr="00E905FB">
        <w:rPr>
          <w:sz w:val="24"/>
          <w:szCs w:val="24"/>
        </w:rPr>
        <w:t xml:space="preserve">state </w:t>
      </w:r>
      <w:r w:rsidR="0091199A" w:rsidRPr="00E905FB">
        <w:rPr>
          <w:sz w:val="24"/>
          <w:szCs w:val="24"/>
        </w:rPr>
        <w:t xml:space="preserve">and </w:t>
      </w:r>
      <w:r w:rsidRPr="00E905FB">
        <w:rPr>
          <w:sz w:val="24"/>
          <w:szCs w:val="24"/>
        </w:rPr>
        <w:t xml:space="preserve">federal </w:t>
      </w:r>
      <w:r w:rsidR="0091199A" w:rsidRPr="00E905FB">
        <w:rPr>
          <w:sz w:val="24"/>
          <w:szCs w:val="24"/>
        </w:rPr>
        <w:t>regulators with a credible, efficient, and comprehensive licensing platform for a variety of non-depository financial services providers, including debt collection</w:t>
      </w:r>
      <w:r>
        <w:rPr>
          <w:sz w:val="24"/>
          <w:szCs w:val="24"/>
        </w:rPr>
        <w:t xml:space="preserve"> entities</w:t>
      </w:r>
      <w:r w:rsidR="0091199A" w:rsidRPr="00E905FB">
        <w:rPr>
          <w:sz w:val="24"/>
          <w:szCs w:val="24"/>
        </w:rPr>
        <w:t>.</w:t>
      </w:r>
    </w:p>
    <w:p w:rsidR="009934EE" w:rsidRDefault="009934EE" w:rsidP="009934EE">
      <w:pPr>
        <w:pStyle w:val="NoSpacing"/>
        <w:spacing w:line="276" w:lineRule="auto"/>
        <w:rPr>
          <w:sz w:val="24"/>
          <w:szCs w:val="24"/>
        </w:rPr>
      </w:pPr>
    </w:p>
    <w:p w:rsidR="009934EE" w:rsidRPr="00E905FB" w:rsidRDefault="009934EE" w:rsidP="009934EE">
      <w:pPr>
        <w:pStyle w:val="NoSpacing"/>
        <w:spacing w:line="276" w:lineRule="auto"/>
        <w:rPr>
          <w:sz w:val="24"/>
          <w:szCs w:val="24"/>
        </w:rPr>
      </w:pPr>
      <w:r w:rsidRPr="00E905FB">
        <w:rPr>
          <w:sz w:val="24"/>
          <w:szCs w:val="24"/>
        </w:rPr>
        <w:t xml:space="preserve">The NMLS </w:t>
      </w:r>
      <w:r w:rsidR="00FA06EE">
        <w:rPr>
          <w:sz w:val="24"/>
          <w:szCs w:val="24"/>
        </w:rPr>
        <w:t>has al</w:t>
      </w:r>
      <w:r w:rsidR="008B00B3">
        <w:rPr>
          <w:sz w:val="24"/>
          <w:szCs w:val="24"/>
        </w:rPr>
        <w:t>so been an important</w:t>
      </w:r>
      <w:r w:rsidR="00FA06EE">
        <w:rPr>
          <w:sz w:val="24"/>
          <w:szCs w:val="24"/>
        </w:rPr>
        <w:t xml:space="preserve"> resource to the public. </w:t>
      </w:r>
      <w:r w:rsidRPr="00E905FB">
        <w:rPr>
          <w:sz w:val="24"/>
          <w:szCs w:val="24"/>
        </w:rPr>
        <w:t xml:space="preserve"> </w:t>
      </w:r>
      <w:r w:rsidRPr="00E905FB">
        <w:rPr>
          <w:i/>
          <w:sz w:val="24"/>
          <w:szCs w:val="24"/>
        </w:rPr>
        <w:t>NMLS Consumer Access (</w:t>
      </w:r>
      <w:hyperlink r:id="rId9" w:history="1">
        <w:r w:rsidRPr="00E905FB">
          <w:rPr>
            <w:rStyle w:val="Hyperlink"/>
            <w:i/>
            <w:sz w:val="24"/>
            <w:szCs w:val="24"/>
          </w:rPr>
          <w:t>www.nmlsconsumeraccess.org</w:t>
        </w:r>
      </w:hyperlink>
      <w:r w:rsidRPr="00E905FB">
        <w:rPr>
          <w:i/>
          <w:sz w:val="24"/>
          <w:szCs w:val="24"/>
        </w:rPr>
        <w:t>)</w:t>
      </w:r>
      <w:r w:rsidR="00FA06EE">
        <w:rPr>
          <w:i/>
          <w:sz w:val="24"/>
          <w:szCs w:val="24"/>
        </w:rPr>
        <w:t xml:space="preserve"> </w:t>
      </w:r>
      <w:r w:rsidRPr="00E905FB">
        <w:rPr>
          <w:sz w:val="24"/>
          <w:szCs w:val="24"/>
        </w:rPr>
        <w:t>enables consumer</w:t>
      </w:r>
      <w:r w:rsidR="00F50B0F">
        <w:rPr>
          <w:sz w:val="24"/>
          <w:szCs w:val="24"/>
        </w:rPr>
        <w:t xml:space="preserve">s to confirm that the financial </w:t>
      </w:r>
      <w:r w:rsidRPr="00E905FB">
        <w:rPr>
          <w:sz w:val="24"/>
          <w:szCs w:val="24"/>
        </w:rPr>
        <w:t xml:space="preserve">services company or professional with whom they wish to conduct business is authorized to conduct </w:t>
      </w:r>
      <w:r w:rsidRPr="00E905FB">
        <w:rPr>
          <w:sz w:val="24"/>
          <w:szCs w:val="24"/>
        </w:rPr>
        <w:lastRenderedPageBreak/>
        <w:t>business in their state.  This allows consumers to proceed with transactions in a confident and informed manner</w:t>
      </w:r>
      <w:r w:rsidR="00FA06EE">
        <w:rPr>
          <w:sz w:val="24"/>
          <w:szCs w:val="24"/>
        </w:rPr>
        <w:t>, bring</w:t>
      </w:r>
      <w:r w:rsidR="00921B89">
        <w:rPr>
          <w:sz w:val="24"/>
          <w:szCs w:val="24"/>
        </w:rPr>
        <w:t>ing</w:t>
      </w:r>
      <w:r w:rsidR="00FA06EE">
        <w:rPr>
          <w:sz w:val="24"/>
          <w:szCs w:val="24"/>
        </w:rPr>
        <w:t xml:space="preserve"> transparency to the registration and regulatory system</w:t>
      </w:r>
      <w:r w:rsidRPr="00E905FB">
        <w:rPr>
          <w:sz w:val="24"/>
          <w:szCs w:val="24"/>
        </w:rPr>
        <w:t xml:space="preserve">. </w:t>
      </w:r>
    </w:p>
    <w:p w:rsidR="0091199A" w:rsidRDefault="0091199A" w:rsidP="00E73CD4">
      <w:pPr>
        <w:pStyle w:val="NoSpacing"/>
        <w:spacing w:line="276" w:lineRule="auto"/>
        <w:rPr>
          <w:sz w:val="24"/>
          <w:szCs w:val="24"/>
        </w:rPr>
      </w:pPr>
    </w:p>
    <w:p w:rsidR="00B464FE" w:rsidRPr="00E73CD4" w:rsidRDefault="00617F27" w:rsidP="00E73CD4">
      <w:pPr>
        <w:pStyle w:val="Subtitle"/>
        <w:ind w:firstLine="720"/>
        <w:rPr>
          <w:b/>
        </w:rPr>
      </w:pPr>
      <w:r w:rsidRPr="00E73CD4">
        <w:rPr>
          <w:b/>
          <w:color w:val="auto"/>
        </w:rPr>
        <w:t xml:space="preserve">The </w:t>
      </w:r>
      <w:r w:rsidR="008B61E6">
        <w:rPr>
          <w:b/>
          <w:color w:val="auto"/>
        </w:rPr>
        <w:t>e</w:t>
      </w:r>
      <w:r w:rsidRPr="00E73CD4">
        <w:rPr>
          <w:b/>
          <w:color w:val="auto"/>
        </w:rPr>
        <w:t xml:space="preserve">xpanded NMLS </w:t>
      </w:r>
      <w:r w:rsidR="0091199A">
        <w:rPr>
          <w:b/>
          <w:color w:val="auto"/>
        </w:rPr>
        <w:t>c</w:t>
      </w:r>
      <w:r w:rsidR="0091199A" w:rsidRPr="00E73CD4">
        <w:rPr>
          <w:b/>
          <w:color w:val="auto"/>
        </w:rPr>
        <w:t xml:space="preserve">apabilities </w:t>
      </w:r>
      <w:r w:rsidR="0091199A">
        <w:rPr>
          <w:b/>
          <w:color w:val="auto"/>
        </w:rPr>
        <w:t>i</w:t>
      </w:r>
      <w:r w:rsidR="0091199A" w:rsidRPr="00E73CD4">
        <w:rPr>
          <w:b/>
          <w:color w:val="auto"/>
        </w:rPr>
        <w:t xml:space="preserve">nclude </w:t>
      </w:r>
      <w:r w:rsidR="0091199A">
        <w:rPr>
          <w:b/>
          <w:color w:val="auto"/>
        </w:rPr>
        <w:t>r</w:t>
      </w:r>
      <w:r w:rsidR="0091199A" w:rsidRPr="00E73CD4">
        <w:rPr>
          <w:b/>
          <w:color w:val="auto"/>
        </w:rPr>
        <w:t xml:space="preserve">egistration of </w:t>
      </w:r>
      <w:r w:rsidR="0091199A">
        <w:rPr>
          <w:b/>
          <w:color w:val="auto"/>
        </w:rPr>
        <w:t>d</w:t>
      </w:r>
      <w:r w:rsidR="0091199A" w:rsidRPr="00E73CD4">
        <w:rPr>
          <w:b/>
          <w:color w:val="auto"/>
        </w:rPr>
        <w:t xml:space="preserve">ebt </w:t>
      </w:r>
      <w:r w:rsidR="0091199A">
        <w:rPr>
          <w:b/>
          <w:color w:val="auto"/>
        </w:rPr>
        <w:t>c</w:t>
      </w:r>
      <w:r w:rsidR="0091199A" w:rsidRPr="00E73CD4">
        <w:rPr>
          <w:b/>
          <w:color w:val="auto"/>
        </w:rPr>
        <w:t>ollect</w:t>
      </w:r>
      <w:r w:rsidR="0091199A">
        <w:rPr>
          <w:b/>
          <w:color w:val="auto"/>
        </w:rPr>
        <w:t>ion entities</w:t>
      </w:r>
      <w:r w:rsidRPr="00E73CD4">
        <w:rPr>
          <w:b/>
          <w:color w:val="auto"/>
        </w:rPr>
        <w:t>.</w:t>
      </w:r>
    </w:p>
    <w:p w:rsidR="00E13A0A" w:rsidRDefault="00617F27" w:rsidP="00E73CD4">
      <w:pPr>
        <w:pStyle w:val="NoSpacing"/>
        <w:spacing w:line="276" w:lineRule="auto"/>
        <w:rPr>
          <w:sz w:val="24"/>
          <w:szCs w:val="24"/>
        </w:rPr>
      </w:pPr>
      <w:r>
        <w:rPr>
          <w:sz w:val="24"/>
          <w:szCs w:val="24"/>
        </w:rPr>
        <w:t xml:space="preserve">To foster more consistent and accountable regulatory structures, the states have been in the process of building and implementing expanded licensing and registration capabilities for the NMLS.  Currently, </w:t>
      </w:r>
      <w:r w:rsidR="009934EE">
        <w:rPr>
          <w:sz w:val="24"/>
          <w:szCs w:val="24"/>
        </w:rPr>
        <w:t>25</w:t>
      </w:r>
      <w:r w:rsidR="00E13A0A" w:rsidRPr="00E905FB">
        <w:rPr>
          <w:sz w:val="24"/>
          <w:szCs w:val="24"/>
        </w:rPr>
        <w:t xml:space="preserve"> state agencies</w:t>
      </w:r>
      <w:r w:rsidR="00F50B0F">
        <w:rPr>
          <w:sz w:val="24"/>
          <w:szCs w:val="24"/>
        </w:rPr>
        <w:t xml:space="preserve"> use the NMLS</w:t>
      </w:r>
      <w:r w:rsidR="00E13A0A" w:rsidRPr="00E905FB">
        <w:rPr>
          <w:sz w:val="24"/>
          <w:szCs w:val="24"/>
        </w:rPr>
        <w:t xml:space="preserve"> to register non-depository financial services industries</w:t>
      </w:r>
      <w:r w:rsidR="00921B89">
        <w:rPr>
          <w:sz w:val="24"/>
          <w:szCs w:val="24"/>
        </w:rPr>
        <w:t xml:space="preserve"> other than mortgage</w:t>
      </w:r>
      <w:r w:rsidR="00E13A0A" w:rsidRPr="00E905FB">
        <w:rPr>
          <w:sz w:val="24"/>
          <w:szCs w:val="24"/>
        </w:rPr>
        <w:t xml:space="preserve">, including </w:t>
      </w:r>
      <w:r w:rsidR="00F50B0F">
        <w:rPr>
          <w:sz w:val="24"/>
          <w:szCs w:val="24"/>
        </w:rPr>
        <w:t>five</w:t>
      </w:r>
      <w:r w:rsidR="009934EE">
        <w:rPr>
          <w:sz w:val="24"/>
          <w:szCs w:val="24"/>
        </w:rPr>
        <w:t xml:space="preserve"> states using NMLS for </w:t>
      </w:r>
      <w:r w:rsidR="00E13A0A" w:rsidRPr="00E905FB">
        <w:rPr>
          <w:sz w:val="24"/>
          <w:szCs w:val="24"/>
        </w:rPr>
        <w:t>debt collection.</w:t>
      </w:r>
      <w:r w:rsidR="00A11E64">
        <w:rPr>
          <w:sz w:val="24"/>
          <w:szCs w:val="24"/>
        </w:rPr>
        <w:t xml:space="preserve">  NMLS already contains 902 debt collection companies holding a total of 1,846 approved licenses in these five states.</w:t>
      </w:r>
      <w:r>
        <w:rPr>
          <w:sz w:val="24"/>
          <w:szCs w:val="24"/>
        </w:rPr>
        <w:t xml:space="preserve">  By the end of 2014, 30 states are expected to utilize the NMLS for </w:t>
      </w:r>
      <w:r w:rsidR="0091199A">
        <w:rPr>
          <w:sz w:val="24"/>
          <w:szCs w:val="24"/>
        </w:rPr>
        <w:t>expanded non-depository licenses</w:t>
      </w:r>
      <w:r w:rsidR="009934EE">
        <w:rPr>
          <w:sz w:val="24"/>
          <w:szCs w:val="24"/>
        </w:rPr>
        <w:t xml:space="preserve">, including </w:t>
      </w:r>
      <w:r w:rsidR="00FA06EE">
        <w:rPr>
          <w:sz w:val="24"/>
          <w:szCs w:val="24"/>
        </w:rPr>
        <w:t xml:space="preserve">four </w:t>
      </w:r>
      <w:r w:rsidR="00A11E64">
        <w:rPr>
          <w:sz w:val="24"/>
          <w:szCs w:val="24"/>
        </w:rPr>
        <w:t>additional</w:t>
      </w:r>
      <w:r w:rsidR="009934EE">
        <w:rPr>
          <w:sz w:val="24"/>
          <w:szCs w:val="24"/>
        </w:rPr>
        <w:t xml:space="preserve"> states for debt collection</w:t>
      </w:r>
      <w:r w:rsidR="0091199A">
        <w:rPr>
          <w:sz w:val="24"/>
          <w:szCs w:val="24"/>
        </w:rPr>
        <w:t>.</w:t>
      </w:r>
      <w:r w:rsidR="00E13A0A" w:rsidRPr="00E905FB">
        <w:rPr>
          <w:sz w:val="24"/>
          <w:szCs w:val="24"/>
        </w:rPr>
        <w:t xml:space="preserve">  </w:t>
      </w:r>
      <w:r w:rsidR="0091199A">
        <w:rPr>
          <w:sz w:val="24"/>
          <w:szCs w:val="24"/>
        </w:rPr>
        <w:t>The</w:t>
      </w:r>
      <w:r w:rsidR="009934EE">
        <w:rPr>
          <w:sz w:val="24"/>
          <w:szCs w:val="24"/>
        </w:rPr>
        <w:t>se</w:t>
      </w:r>
      <w:r w:rsidR="0091199A">
        <w:rPr>
          <w:sz w:val="24"/>
          <w:szCs w:val="24"/>
        </w:rPr>
        <w:t xml:space="preserve"> s</w:t>
      </w:r>
      <w:r>
        <w:rPr>
          <w:sz w:val="24"/>
          <w:szCs w:val="24"/>
        </w:rPr>
        <w:t>tates have found that a centralized registration sy</w:t>
      </w:r>
      <w:r w:rsidR="0091199A">
        <w:rPr>
          <w:sz w:val="24"/>
          <w:szCs w:val="24"/>
        </w:rPr>
        <w:t xml:space="preserve">stem for non-depository licenses </w:t>
      </w:r>
      <w:r>
        <w:rPr>
          <w:sz w:val="24"/>
          <w:szCs w:val="24"/>
        </w:rPr>
        <w:t>like debt collectors has provided important data across state lines, information that will be an important component for both CFPB and state supervisory regimes.</w:t>
      </w:r>
      <w:r w:rsidR="00921B89">
        <w:rPr>
          <w:sz w:val="24"/>
          <w:szCs w:val="24"/>
        </w:rPr>
        <w:t xml:space="preserve">  CSBS expects more states to begin managing additional non-depository licenses on NMLS in the near future, and is working with a number of additional states </w:t>
      </w:r>
      <w:r w:rsidR="00F50B0F">
        <w:rPr>
          <w:sz w:val="24"/>
          <w:szCs w:val="24"/>
        </w:rPr>
        <w:t xml:space="preserve">that </w:t>
      </w:r>
      <w:r w:rsidR="00921B89">
        <w:rPr>
          <w:sz w:val="24"/>
          <w:szCs w:val="24"/>
        </w:rPr>
        <w:t xml:space="preserve">are interested in </w:t>
      </w:r>
      <w:r w:rsidR="00F50B0F">
        <w:rPr>
          <w:sz w:val="24"/>
          <w:szCs w:val="24"/>
        </w:rPr>
        <w:t>expanding</w:t>
      </w:r>
      <w:bookmarkStart w:id="0" w:name="_GoBack"/>
      <w:bookmarkEnd w:id="0"/>
      <w:r w:rsidR="00F50B0F">
        <w:rPr>
          <w:sz w:val="24"/>
          <w:szCs w:val="24"/>
        </w:rPr>
        <w:t xml:space="preserve"> use </w:t>
      </w:r>
      <w:r w:rsidR="00921B89">
        <w:rPr>
          <w:sz w:val="24"/>
          <w:szCs w:val="24"/>
        </w:rPr>
        <w:t>in 2015.</w:t>
      </w:r>
    </w:p>
    <w:p w:rsidR="00E13A0A" w:rsidRDefault="00E13A0A" w:rsidP="00E73CD4">
      <w:pPr>
        <w:pStyle w:val="NoSpacing"/>
        <w:spacing w:line="276" w:lineRule="auto"/>
        <w:rPr>
          <w:sz w:val="24"/>
          <w:szCs w:val="24"/>
        </w:rPr>
      </w:pPr>
    </w:p>
    <w:p w:rsidR="00FA06EE" w:rsidRPr="00E73CD4" w:rsidRDefault="00FA06EE" w:rsidP="00E73CD4">
      <w:pPr>
        <w:pStyle w:val="Subtitle"/>
        <w:rPr>
          <w:b/>
        </w:rPr>
      </w:pPr>
      <w:r w:rsidRPr="00E73CD4">
        <w:rPr>
          <w:b/>
          <w:color w:val="auto"/>
        </w:rPr>
        <w:tab/>
        <w:t>Congress gave CFPB the authority to rely on state systems to increase coordinated activity and decrease duplicative registration requirements.</w:t>
      </w:r>
    </w:p>
    <w:p w:rsidR="0043087F" w:rsidRPr="00E905FB" w:rsidRDefault="006C7C6F" w:rsidP="00E73CD4">
      <w:pPr>
        <w:pStyle w:val="NoSpacing"/>
        <w:spacing w:line="276" w:lineRule="auto"/>
        <w:rPr>
          <w:sz w:val="24"/>
          <w:szCs w:val="24"/>
        </w:rPr>
      </w:pPr>
      <w:r w:rsidRPr="00E73CD4">
        <w:rPr>
          <w:sz w:val="24"/>
          <w:szCs w:val="24"/>
        </w:rPr>
        <w:t xml:space="preserve">The Dodd-Frank Act </w:t>
      </w:r>
      <w:r w:rsidR="0043087F" w:rsidRPr="00E73CD4">
        <w:rPr>
          <w:sz w:val="24"/>
          <w:szCs w:val="24"/>
        </w:rPr>
        <w:t>reaffirmed the importan</w:t>
      </w:r>
      <w:r w:rsidR="00FA06EE" w:rsidRPr="00E73CD4">
        <w:rPr>
          <w:sz w:val="24"/>
          <w:szCs w:val="24"/>
        </w:rPr>
        <w:t xml:space="preserve">ce of coordination between state and federal regulators.  Section 1022(c) of Dodd-Frank authorizes the CFPB to require </w:t>
      </w:r>
      <w:r w:rsidR="00FA06EE">
        <w:rPr>
          <w:sz w:val="24"/>
          <w:szCs w:val="24"/>
        </w:rPr>
        <w:t>registration of covered persons, but also</w:t>
      </w:r>
      <w:r w:rsidR="00FA06EE" w:rsidRPr="00E73CD4">
        <w:rPr>
          <w:sz w:val="24"/>
          <w:szCs w:val="24"/>
        </w:rPr>
        <w:t xml:space="preserve"> requires the Bureau to consult with the State agencies in the development and implementation of any registration requirements or systems. </w:t>
      </w:r>
      <w:r w:rsidR="00FA06EE">
        <w:rPr>
          <w:sz w:val="24"/>
          <w:szCs w:val="24"/>
        </w:rPr>
        <w:t xml:space="preserve"> This coordination includes “coordinated or combined systems for registration,” the clear intent of which is to ensure regulators </w:t>
      </w:r>
      <w:r w:rsidR="00A11E64">
        <w:rPr>
          <w:sz w:val="24"/>
          <w:szCs w:val="24"/>
        </w:rPr>
        <w:t>supervise in a streamlined manner and reduce duplicative registration requirements.  If the CFPB chooses to register debt collectors, e</w:t>
      </w:r>
      <w:r w:rsidR="009934EE" w:rsidRPr="00E905FB">
        <w:rPr>
          <w:sz w:val="24"/>
          <w:szCs w:val="24"/>
        </w:rPr>
        <w:t xml:space="preserve">stablishing a new system </w:t>
      </w:r>
      <w:r w:rsidR="00A11E64">
        <w:rPr>
          <w:sz w:val="24"/>
          <w:szCs w:val="24"/>
        </w:rPr>
        <w:t>will</w:t>
      </w:r>
      <w:r w:rsidR="009934EE" w:rsidRPr="00E905FB">
        <w:rPr>
          <w:sz w:val="24"/>
          <w:szCs w:val="24"/>
        </w:rPr>
        <w:t xml:space="preserve"> result in fragmented registries for different </w:t>
      </w:r>
      <w:r w:rsidR="00A11E64">
        <w:rPr>
          <w:sz w:val="24"/>
          <w:szCs w:val="24"/>
        </w:rPr>
        <w:t xml:space="preserve">jurisdictions and different </w:t>
      </w:r>
      <w:r w:rsidR="009934EE" w:rsidRPr="00E905FB">
        <w:rPr>
          <w:sz w:val="24"/>
          <w:szCs w:val="24"/>
        </w:rPr>
        <w:t>industries, an outcome which would be inefficient and burdensome for regulated entities and regulators alike.</w:t>
      </w:r>
    </w:p>
    <w:p w:rsidR="008B00B3" w:rsidRPr="008B00B3" w:rsidRDefault="008B00B3" w:rsidP="008B00B3">
      <w:pPr>
        <w:pStyle w:val="NoSpacing"/>
        <w:spacing w:line="276" w:lineRule="auto"/>
        <w:rPr>
          <w:sz w:val="28"/>
          <w:szCs w:val="28"/>
        </w:rPr>
      </w:pPr>
    </w:p>
    <w:p w:rsidR="008B00B3" w:rsidRPr="008B00B3" w:rsidRDefault="008B00B3" w:rsidP="008B00B3">
      <w:pPr>
        <w:pStyle w:val="NoSpacing"/>
        <w:spacing w:line="276" w:lineRule="auto"/>
        <w:jc w:val="center"/>
        <w:rPr>
          <w:rFonts w:ascii="Cambria" w:hAnsi="Cambria"/>
          <w:b/>
          <w:i/>
          <w:sz w:val="28"/>
          <w:szCs w:val="28"/>
        </w:rPr>
      </w:pPr>
      <w:r w:rsidRPr="008B00B3">
        <w:rPr>
          <w:rFonts w:ascii="Cambria" w:hAnsi="Cambria"/>
          <w:b/>
          <w:i/>
          <w:sz w:val="28"/>
          <w:szCs w:val="28"/>
        </w:rPr>
        <w:t>Conclusion</w:t>
      </w:r>
    </w:p>
    <w:p w:rsidR="008B00B3" w:rsidRPr="008B00B3" w:rsidRDefault="008B00B3" w:rsidP="008B00B3">
      <w:pPr>
        <w:pStyle w:val="NoSpacing"/>
        <w:spacing w:line="276" w:lineRule="auto"/>
        <w:jc w:val="center"/>
        <w:rPr>
          <w:b/>
          <w:i/>
          <w:sz w:val="32"/>
          <w:szCs w:val="32"/>
        </w:rPr>
      </w:pPr>
    </w:p>
    <w:p w:rsidR="00641C74" w:rsidRPr="00E905FB" w:rsidRDefault="006C7C6F" w:rsidP="00E73CD4">
      <w:pPr>
        <w:pStyle w:val="NoSpacing"/>
        <w:spacing w:line="276" w:lineRule="auto"/>
        <w:rPr>
          <w:sz w:val="24"/>
          <w:szCs w:val="24"/>
        </w:rPr>
      </w:pPr>
      <w:r w:rsidRPr="00E905FB">
        <w:rPr>
          <w:sz w:val="24"/>
          <w:szCs w:val="24"/>
        </w:rPr>
        <w:t>T</w:t>
      </w:r>
      <w:r w:rsidR="00783DE3" w:rsidRPr="00E905FB">
        <w:rPr>
          <w:sz w:val="24"/>
          <w:szCs w:val="24"/>
        </w:rPr>
        <w:t xml:space="preserve">he NMLS </w:t>
      </w:r>
      <w:r w:rsidR="00921B89">
        <w:rPr>
          <w:sz w:val="24"/>
          <w:szCs w:val="24"/>
        </w:rPr>
        <w:t xml:space="preserve">is </w:t>
      </w:r>
      <w:r w:rsidR="00A11E64">
        <w:rPr>
          <w:sz w:val="24"/>
          <w:szCs w:val="24"/>
        </w:rPr>
        <w:t>an excellent</w:t>
      </w:r>
      <w:r w:rsidR="00783DE3" w:rsidRPr="00E905FB">
        <w:rPr>
          <w:sz w:val="24"/>
          <w:szCs w:val="24"/>
        </w:rPr>
        <w:t xml:space="preserve"> example of coordinated regulation </w:t>
      </w:r>
      <w:r w:rsidR="00A11E64">
        <w:rPr>
          <w:sz w:val="24"/>
          <w:szCs w:val="24"/>
        </w:rPr>
        <w:t>among s</w:t>
      </w:r>
      <w:r w:rsidR="00783DE3" w:rsidRPr="00E905FB">
        <w:rPr>
          <w:sz w:val="24"/>
          <w:szCs w:val="24"/>
        </w:rPr>
        <w:t xml:space="preserve">tate agencies and </w:t>
      </w:r>
      <w:r w:rsidR="00A11E64">
        <w:rPr>
          <w:sz w:val="24"/>
          <w:szCs w:val="24"/>
        </w:rPr>
        <w:t xml:space="preserve">between state and </w:t>
      </w:r>
      <w:r w:rsidR="00783DE3" w:rsidRPr="00E905FB">
        <w:rPr>
          <w:sz w:val="24"/>
          <w:szCs w:val="24"/>
        </w:rPr>
        <w:t>federal regulators</w:t>
      </w:r>
      <w:r w:rsidR="00A11E64">
        <w:rPr>
          <w:sz w:val="24"/>
          <w:szCs w:val="24"/>
        </w:rPr>
        <w:t>.  This p</w:t>
      </w:r>
      <w:r w:rsidR="00783DE3" w:rsidRPr="00E905FB">
        <w:rPr>
          <w:sz w:val="24"/>
          <w:szCs w:val="24"/>
        </w:rPr>
        <w:t>roductive partnership has altered the non-depository landscape for the better since the financial crisis</w:t>
      </w:r>
      <w:r w:rsidR="00A11E64">
        <w:rPr>
          <w:sz w:val="24"/>
          <w:szCs w:val="24"/>
        </w:rPr>
        <w:t xml:space="preserve">, providing regulators with </w:t>
      </w:r>
      <w:r w:rsidR="00A11E64">
        <w:rPr>
          <w:sz w:val="24"/>
          <w:szCs w:val="24"/>
        </w:rPr>
        <w:lastRenderedPageBreak/>
        <w:t>consistent and coordinated information while</w:t>
      </w:r>
      <w:r w:rsidR="00783DE3" w:rsidRPr="00E905FB">
        <w:rPr>
          <w:sz w:val="24"/>
          <w:szCs w:val="24"/>
        </w:rPr>
        <w:t xml:space="preserve"> reduc</w:t>
      </w:r>
      <w:r w:rsidR="00A11E64">
        <w:rPr>
          <w:sz w:val="24"/>
          <w:szCs w:val="24"/>
        </w:rPr>
        <w:t>ing</w:t>
      </w:r>
      <w:r w:rsidR="00783DE3" w:rsidRPr="00E905FB">
        <w:rPr>
          <w:sz w:val="24"/>
          <w:szCs w:val="24"/>
        </w:rPr>
        <w:t xml:space="preserve"> the moral hazard and lack of accountability that helped lead to that crisis.</w:t>
      </w:r>
    </w:p>
    <w:p w:rsidR="00783DE3" w:rsidRPr="00E905FB" w:rsidRDefault="00783DE3" w:rsidP="00E73CD4">
      <w:pPr>
        <w:pStyle w:val="NoSpacing"/>
        <w:spacing w:line="276" w:lineRule="auto"/>
        <w:ind w:firstLine="720"/>
        <w:rPr>
          <w:sz w:val="24"/>
          <w:szCs w:val="24"/>
        </w:rPr>
      </w:pPr>
    </w:p>
    <w:p w:rsidR="00EB52C5" w:rsidRPr="00E905FB" w:rsidRDefault="00A11E64" w:rsidP="00E73CD4">
      <w:pPr>
        <w:pStyle w:val="NoSpacing"/>
        <w:spacing w:line="276" w:lineRule="auto"/>
        <w:rPr>
          <w:sz w:val="24"/>
          <w:szCs w:val="24"/>
        </w:rPr>
      </w:pPr>
      <w:r>
        <w:rPr>
          <w:sz w:val="24"/>
          <w:szCs w:val="24"/>
        </w:rPr>
        <w:t>If the CFPB chooses to register debt collectors</w:t>
      </w:r>
      <w:r w:rsidR="00BC379A">
        <w:rPr>
          <w:sz w:val="24"/>
          <w:szCs w:val="24"/>
        </w:rPr>
        <w:t xml:space="preserve"> or another larger participant category</w:t>
      </w:r>
      <w:r>
        <w:rPr>
          <w:sz w:val="24"/>
          <w:szCs w:val="24"/>
        </w:rPr>
        <w:t xml:space="preserve">, </w:t>
      </w:r>
      <w:r w:rsidR="00EB52C5" w:rsidRPr="00E905FB">
        <w:rPr>
          <w:sz w:val="24"/>
          <w:szCs w:val="24"/>
        </w:rPr>
        <w:t xml:space="preserve">CSBS strongly encourages the CFPB to work with the </w:t>
      </w:r>
      <w:r w:rsidR="00921B89">
        <w:rPr>
          <w:sz w:val="24"/>
          <w:szCs w:val="24"/>
        </w:rPr>
        <w:t>s</w:t>
      </w:r>
      <w:r w:rsidR="00EB52C5" w:rsidRPr="00E905FB">
        <w:rPr>
          <w:sz w:val="24"/>
          <w:szCs w:val="24"/>
        </w:rPr>
        <w:t xml:space="preserve">tates to utilize NMLS as the </w:t>
      </w:r>
      <w:r w:rsidR="00921B89">
        <w:rPr>
          <w:sz w:val="24"/>
          <w:szCs w:val="24"/>
        </w:rPr>
        <w:t>centralized</w:t>
      </w:r>
      <w:r w:rsidR="00844E86" w:rsidRPr="00E905FB">
        <w:rPr>
          <w:sz w:val="24"/>
          <w:szCs w:val="24"/>
        </w:rPr>
        <w:t xml:space="preserve"> registration </w:t>
      </w:r>
      <w:r w:rsidR="00EB52C5" w:rsidRPr="00E905FB">
        <w:rPr>
          <w:sz w:val="24"/>
          <w:szCs w:val="24"/>
        </w:rPr>
        <w:t xml:space="preserve">system. The </w:t>
      </w:r>
      <w:r w:rsidR="00BC379A">
        <w:rPr>
          <w:sz w:val="24"/>
          <w:szCs w:val="24"/>
        </w:rPr>
        <w:t>s</w:t>
      </w:r>
      <w:r w:rsidR="00EB52C5" w:rsidRPr="00E905FB">
        <w:rPr>
          <w:sz w:val="24"/>
          <w:szCs w:val="24"/>
        </w:rPr>
        <w:t xml:space="preserve">tates have had tremendous success utilizing the System, which can be shaped to inform the </w:t>
      </w:r>
      <w:r w:rsidR="00F02FF4">
        <w:rPr>
          <w:sz w:val="24"/>
          <w:szCs w:val="24"/>
        </w:rPr>
        <w:t>jurisdictional</w:t>
      </w:r>
      <w:r w:rsidR="00806E41" w:rsidRPr="00E905FB">
        <w:rPr>
          <w:sz w:val="24"/>
          <w:szCs w:val="24"/>
        </w:rPr>
        <w:t xml:space="preserve"> </w:t>
      </w:r>
      <w:r w:rsidR="00EB52C5" w:rsidRPr="00E905FB">
        <w:rPr>
          <w:sz w:val="24"/>
          <w:szCs w:val="24"/>
        </w:rPr>
        <w:t>decision</w:t>
      </w:r>
      <w:r w:rsidR="00806E41">
        <w:rPr>
          <w:sz w:val="24"/>
          <w:szCs w:val="24"/>
        </w:rPr>
        <w:t xml:space="preserve"> </w:t>
      </w:r>
      <w:r w:rsidR="00EB52C5" w:rsidRPr="00E905FB">
        <w:rPr>
          <w:sz w:val="24"/>
          <w:szCs w:val="24"/>
        </w:rPr>
        <w:t>structure required under Title X of the Dodd-Frank Act.</w:t>
      </w:r>
      <w:r w:rsidR="00BC379A">
        <w:rPr>
          <w:sz w:val="24"/>
          <w:szCs w:val="24"/>
        </w:rPr>
        <w:t xml:space="preserve"> </w:t>
      </w:r>
      <w:r w:rsidR="00EB52C5" w:rsidRPr="00E905FB">
        <w:rPr>
          <w:sz w:val="24"/>
          <w:szCs w:val="24"/>
        </w:rPr>
        <w:t xml:space="preserve"> Doing so would eliminate potential redundancies, enhance cooperation, and create a uniform approach to monitoring industry developments in a manner that best informs federal and </w:t>
      </w:r>
      <w:r w:rsidR="00BC379A">
        <w:rPr>
          <w:sz w:val="24"/>
          <w:szCs w:val="24"/>
        </w:rPr>
        <w:t>s</w:t>
      </w:r>
      <w:r w:rsidR="00EB52C5" w:rsidRPr="00E905FB">
        <w:rPr>
          <w:sz w:val="24"/>
          <w:szCs w:val="24"/>
        </w:rPr>
        <w:t xml:space="preserve">tate regulators alike. </w:t>
      </w:r>
    </w:p>
    <w:p w:rsidR="00F3728E" w:rsidRPr="00E905FB" w:rsidRDefault="00F3728E" w:rsidP="00E73CD4">
      <w:pPr>
        <w:pStyle w:val="NoSpacing"/>
        <w:spacing w:line="276" w:lineRule="auto"/>
        <w:ind w:firstLine="720"/>
        <w:rPr>
          <w:sz w:val="24"/>
          <w:szCs w:val="24"/>
        </w:rPr>
      </w:pPr>
    </w:p>
    <w:p w:rsidR="00532E0F" w:rsidRDefault="00F3728E" w:rsidP="008B00B3">
      <w:pPr>
        <w:pStyle w:val="NoSpacing"/>
        <w:spacing w:line="276" w:lineRule="auto"/>
        <w:rPr>
          <w:sz w:val="24"/>
          <w:szCs w:val="24"/>
        </w:rPr>
      </w:pPr>
      <w:r w:rsidRPr="00E905FB">
        <w:rPr>
          <w:sz w:val="24"/>
          <w:szCs w:val="24"/>
        </w:rPr>
        <w:t>Sincerely,</w:t>
      </w:r>
    </w:p>
    <w:p w:rsidR="008B00B3" w:rsidRPr="00E905FB" w:rsidRDefault="008B00B3" w:rsidP="008B00B3">
      <w:pPr>
        <w:pStyle w:val="NoSpacing"/>
        <w:spacing w:line="276" w:lineRule="auto"/>
        <w:rPr>
          <w:sz w:val="24"/>
          <w:szCs w:val="24"/>
        </w:rPr>
      </w:pPr>
      <w:r>
        <w:rPr>
          <w:noProof/>
          <w:sz w:val="24"/>
          <w:szCs w:val="24"/>
        </w:rPr>
        <w:drawing>
          <wp:inline distT="0" distB="0" distL="0" distR="0">
            <wp:extent cx="1447800" cy="533688"/>
            <wp:effectExtent l="0" t="0" r="0" b="0"/>
            <wp:docPr id="1" name="Picture 1" descr="P:\Administration\Signature Files\JohnRyan02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istration\Signature Files\JohnRyan0207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3665" cy="535850"/>
                    </a:xfrm>
                    <a:prstGeom prst="rect">
                      <a:avLst/>
                    </a:prstGeom>
                    <a:noFill/>
                    <a:ln>
                      <a:noFill/>
                    </a:ln>
                  </pic:spPr>
                </pic:pic>
              </a:graphicData>
            </a:graphic>
          </wp:inline>
        </w:drawing>
      </w:r>
    </w:p>
    <w:p w:rsidR="00F3728E" w:rsidRPr="00E905FB" w:rsidRDefault="00F3728E" w:rsidP="00E73CD4">
      <w:pPr>
        <w:pStyle w:val="NoSpacing"/>
        <w:spacing w:line="276" w:lineRule="auto"/>
        <w:rPr>
          <w:sz w:val="24"/>
          <w:szCs w:val="24"/>
        </w:rPr>
      </w:pPr>
      <w:r w:rsidRPr="00E905FB">
        <w:rPr>
          <w:sz w:val="24"/>
          <w:szCs w:val="24"/>
        </w:rPr>
        <w:t>John W. Ryan</w:t>
      </w:r>
    </w:p>
    <w:p w:rsidR="00F3728E" w:rsidRPr="00E905FB" w:rsidRDefault="00F3728E" w:rsidP="00E73CD4">
      <w:pPr>
        <w:pStyle w:val="NoSpacing"/>
        <w:spacing w:line="276" w:lineRule="auto"/>
        <w:rPr>
          <w:sz w:val="24"/>
          <w:szCs w:val="24"/>
        </w:rPr>
      </w:pPr>
      <w:proofErr w:type="gramStart"/>
      <w:r w:rsidRPr="00E905FB">
        <w:rPr>
          <w:sz w:val="24"/>
          <w:szCs w:val="24"/>
        </w:rPr>
        <w:t>President &amp;</w:t>
      </w:r>
      <w:proofErr w:type="gramEnd"/>
      <w:r w:rsidRPr="00E905FB">
        <w:rPr>
          <w:sz w:val="24"/>
          <w:szCs w:val="24"/>
        </w:rPr>
        <w:t xml:space="preserve"> CEO</w:t>
      </w:r>
    </w:p>
    <w:sectPr w:rsidR="00F3728E" w:rsidRPr="00E905FB" w:rsidSect="002F5F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1D" w:rsidRDefault="007F5E1D" w:rsidP="004E21AC">
      <w:pPr>
        <w:spacing w:after="0" w:line="240" w:lineRule="auto"/>
      </w:pPr>
      <w:r>
        <w:separator/>
      </w:r>
    </w:p>
  </w:endnote>
  <w:endnote w:type="continuationSeparator" w:id="0">
    <w:p w:rsidR="007F5E1D" w:rsidRDefault="007F5E1D" w:rsidP="004E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xury Platinum">
    <w:altName w:val="Arial"/>
    <w:panose1 w:val="00000000000000000000"/>
    <w:charset w:val="00"/>
    <w:family w:val="modern"/>
    <w:notTrueType/>
    <w:pitch w:val="variable"/>
    <w:sig w:usb0="00000001" w:usb1="500004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D0" w:rsidRDefault="00894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87075"/>
      <w:docPartObj>
        <w:docPartGallery w:val="Page Numbers (Bottom of Page)"/>
        <w:docPartUnique/>
      </w:docPartObj>
    </w:sdtPr>
    <w:sdtEndPr/>
    <w:sdtContent>
      <w:p w:rsidR="002F5F6D" w:rsidRDefault="00C776FA">
        <w:pPr>
          <w:pStyle w:val="Footer"/>
          <w:jc w:val="center"/>
        </w:pPr>
        <w:r>
          <w:fldChar w:fldCharType="begin"/>
        </w:r>
        <w:r>
          <w:instrText xml:space="preserve"> PAGE   \* MERGEFORMAT </w:instrText>
        </w:r>
        <w:r>
          <w:fldChar w:fldCharType="separate"/>
        </w:r>
        <w:r w:rsidR="00F50B0F">
          <w:rPr>
            <w:noProof/>
          </w:rPr>
          <w:t>4</w:t>
        </w:r>
        <w:r>
          <w:rPr>
            <w:noProof/>
          </w:rPr>
          <w:fldChar w:fldCharType="end"/>
        </w:r>
      </w:p>
    </w:sdtContent>
  </w:sdt>
  <w:p w:rsidR="002F5F6D" w:rsidRDefault="002F5F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B9" w:rsidRDefault="002F5F6D" w:rsidP="002F5F6D">
    <w:pPr>
      <w:pStyle w:val="Footer"/>
      <w:jc w:val="center"/>
      <w:rPr>
        <w:rFonts w:ascii="Luxury Platinum" w:hAnsi="Luxury Platinum"/>
        <w:color w:val="5C6F7C"/>
        <w:sz w:val="20"/>
        <w:szCs w:val="20"/>
      </w:rPr>
    </w:pPr>
    <w:r w:rsidRPr="00A52BC2">
      <w:rPr>
        <w:rFonts w:ascii="Luxury Platinum" w:hAnsi="Luxury Platinum"/>
        <w:color w:val="5C6F7C"/>
        <w:sz w:val="20"/>
        <w:szCs w:val="20"/>
      </w:rPr>
      <w:t>1129 20</w:t>
    </w:r>
    <w:r w:rsidRPr="00A52BC2">
      <w:rPr>
        <w:rFonts w:ascii="Luxury Platinum" w:hAnsi="Luxury Platinum"/>
        <w:color w:val="5C6F7C"/>
        <w:sz w:val="20"/>
        <w:szCs w:val="20"/>
        <w:vertAlign w:val="superscript"/>
      </w:rPr>
      <w:t>th</w:t>
    </w:r>
    <w:r w:rsidRPr="00A52BC2">
      <w:rPr>
        <w:rFonts w:ascii="Luxury Platinum" w:hAnsi="Luxury Platinum"/>
        <w:color w:val="5C6F7C"/>
        <w:sz w:val="20"/>
        <w:szCs w:val="20"/>
      </w:rPr>
      <w:t xml:space="preserve"> Street, N.W. • </w:t>
    </w:r>
    <w:r w:rsidR="008940D0">
      <w:rPr>
        <w:rFonts w:ascii="Luxury Platinum" w:hAnsi="Luxury Platinum"/>
        <w:color w:val="5C6F7C"/>
        <w:sz w:val="20"/>
        <w:szCs w:val="20"/>
      </w:rPr>
      <w:t>N</w:t>
    </w:r>
    <w:r w:rsidRPr="00A52BC2">
      <w:rPr>
        <w:rFonts w:ascii="Luxury Platinum" w:hAnsi="Luxury Platinum"/>
        <w:color w:val="5C6F7C"/>
        <w:sz w:val="20"/>
        <w:szCs w:val="20"/>
      </w:rPr>
      <w:t xml:space="preserve">inth Floor • Washington, DC • 20036 • </w:t>
    </w:r>
  </w:p>
  <w:p w:rsidR="002F5F6D" w:rsidRPr="00A52BC2" w:rsidRDefault="00F50B0F" w:rsidP="002F5F6D">
    <w:pPr>
      <w:pStyle w:val="Footer"/>
      <w:jc w:val="center"/>
      <w:rPr>
        <w:rFonts w:ascii="Luxury Platinum" w:hAnsi="Luxury Platinum"/>
        <w:color w:val="5C6F7C"/>
        <w:sz w:val="20"/>
        <w:szCs w:val="20"/>
      </w:rPr>
    </w:pPr>
    <w:hyperlink r:id="rId1" w:history="1">
      <w:r w:rsidR="002F5F6D" w:rsidRPr="00A52BC2">
        <w:rPr>
          <w:rStyle w:val="Hyperlink"/>
          <w:rFonts w:ascii="Luxury Platinum" w:hAnsi="Luxury Platinum"/>
          <w:color w:val="5C6F7C"/>
          <w:sz w:val="20"/>
          <w:szCs w:val="20"/>
        </w:rPr>
        <w:t>www.csbs.org</w:t>
      </w:r>
    </w:hyperlink>
    <w:r w:rsidR="002F5F6D" w:rsidRPr="00A52BC2">
      <w:rPr>
        <w:rFonts w:ascii="Luxury Platinum" w:hAnsi="Luxury Platinum"/>
        <w:color w:val="5C6F7C"/>
        <w:sz w:val="20"/>
        <w:szCs w:val="20"/>
      </w:rPr>
      <w:t xml:space="preserve"> • 202-296-2840 • FAX 202-296-1928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1D" w:rsidRDefault="007F5E1D" w:rsidP="004E21AC">
      <w:pPr>
        <w:spacing w:after="0" w:line="240" w:lineRule="auto"/>
      </w:pPr>
      <w:r>
        <w:separator/>
      </w:r>
    </w:p>
  </w:footnote>
  <w:footnote w:type="continuationSeparator" w:id="0">
    <w:p w:rsidR="007F5E1D" w:rsidRDefault="007F5E1D" w:rsidP="004E21AC">
      <w:pPr>
        <w:spacing w:after="0" w:line="240" w:lineRule="auto"/>
      </w:pPr>
      <w:r>
        <w:continuationSeparator/>
      </w:r>
    </w:p>
  </w:footnote>
  <w:footnote w:id="1">
    <w:p w:rsidR="00E13A0A" w:rsidRPr="00617F27" w:rsidRDefault="00E13A0A">
      <w:pPr>
        <w:pStyle w:val="FootnoteText"/>
      </w:pPr>
      <w:r>
        <w:rPr>
          <w:rStyle w:val="FootnoteReference"/>
        </w:rPr>
        <w:footnoteRef/>
      </w:r>
      <w:r>
        <w:t xml:space="preserve"> CSBS</w:t>
      </w:r>
      <w:r w:rsidR="00B464FE">
        <w:t xml:space="preserve"> and the American Association of Residential Mortgage Regulators</w:t>
      </w:r>
      <w:r>
        <w:t xml:space="preserve"> ha</w:t>
      </w:r>
      <w:r w:rsidR="00B464FE">
        <w:t>ve</w:t>
      </w:r>
      <w:r>
        <w:t xml:space="preserve"> previously recommended use of the NMLS for all</w:t>
      </w:r>
      <w:r w:rsidR="00921B89">
        <w:t xml:space="preserve"> potential</w:t>
      </w:r>
      <w:r>
        <w:t xml:space="preserve"> larger participant registration requirements.  </w:t>
      </w:r>
      <w:r w:rsidRPr="00E73CD4">
        <w:rPr>
          <w:i/>
        </w:rPr>
        <w:t>See</w:t>
      </w:r>
      <w:r w:rsidR="00B464FE">
        <w:t xml:space="preserve"> Letter from CSBS and AARMR re: CFPB Docket No. </w:t>
      </w:r>
      <w:proofErr w:type="gramStart"/>
      <w:r w:rsidR="00B464FE">
        <w:t xml:space="preserve">CFPB-HQ-2011-2 (August 15, 2011) </w:t>
      </w:r>
      <w:r w:rsidR="00B464FE">
        <w:rPr>
          <w:i/>
        </w:rPr>
        <w:t>available at</w:t>
      </w:r>
      <w:r w:rsidR="00B464FE">
        <w:t xml:space="preserve"> </w:t>
      </w:r>
      <w:hyperlink r:id="rId1" w:history="1">
        <w:r w:rsidR="00B464FE" w:rsidRPr="00DD2CA1">
          <w:rPr>
            <w:rStyle w:val="Hyperlink"/>
          </w:rPr>
          <w:t>http://www.csbs.org/regulatory/policy/Documents/CSBS-AARMRCommentLetterOnLargerParticipants.pdf</w:t>
        </w:r>
      </w:hyperlink>
      <w:r w:rsidR="00B464FE">
        <w:t>.</w:t>
      </w:r>
      <w:proofErr w:type="gramEnd"/>
    </w:p>
  </w:footnote>
  <w:footnote w:id="2">
    <w:p w:rsidR="0091199A" w:rsidRDefault="0091199A" w:rsidP="0091199A">
      <w:pPr>
        <w:pStyle w:val="FootnoteText"/>
      </w:pPr>
      <w:r>
        <w:rPr>
          <w:rStyle w:val="FootnoteReference"/>
        </w:rPr>
        <w:footnoteRef/>
      </w:r>
      <w:r>
        <w:t xml:space="preserve"> </w:t>
      </w:r>
      <w:r w:rsidRPr="0091199A">
        <w:t xml:space="preserve">Timothy P. Daly, Senior Vice President, Global Public Policy, </w:t>
      </w:r>
      <w:proofErr w:type="gramStart"/>
      <w:r w:rsidRPr="0091199A">
        <w:t>The</w:t>
      </w:r>
      <w:proofErr w:type="gramEnd"/>
      <w:r w:rsidRPr="0091199A">
        <w:t xml:space="preserve"> Western Union Company. Hearing before the</w:t>
      </w:r>
      <w:r>
        <w:t xml:space="preserve"> </w:t>
      </w:r>
      <w:r w:rsidRPr="0091199A">
        <w:t xml:space="preserve">Subcommittee on Financial Institutions and Consumer Credit of the Committee on Financial Services, U.S. House </w:t>
      </w:r>
      <w:r>
        <w:t>of Representatives, 112th Congress, Second Session, Serial No. 112-139, 49-50 (June 21,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D0" w:rsidRDefault="00894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C2" w:rsidRDefault="00A52BC2">
    <w:pPr>
      <w:pStyle w:val="Header"/>
    </w:pPr>
  </w:p>
  <w:p w:rsidR="002F5F6D" w:rsidRDefault="002F5F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6D" w:rsidRDefault="002F5F6D">
    <w:pPr>
      <w:pStyle w:val="Header"/>
    </w:pPr>
    <w:r w:rsidRPr="002F5F6D">
      <w:rPr>
        <w:noProof/>
      </w:rPr>
      <w:drawing>
        <wp:inline distT="0" distB="0" distL="0" distR="0">
          <wp:extent cx="3688994" cy="727100"/>
          <wp:effectExtent l="19050" t="0" r="6706" b="0"/>
          <wp:docPr id="2" name="Picture 3" descr="P:\COMMUNICATIONS\COMMUNICATIONS 2011\Logo\FINAL LOGO\CSBS logo files\LOGOandName\RGB\CSBS_logonam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COMMUNICATIONS 2011\Logo\FINAL LOGO\CSBS logo files\LOGOandName\RGB\CSBS_logoname_RGB.jpg"/>
                  <pic:cNvPicPr>
                    <a:picLocks noChangeAspect="1" noChangeArrowheads="1"/>
                  </pic:cNvPicPr>
                </pic:nvPicPr>
                <pic:blipFill>
                  <a:blip r:embed="rId1"/>
                  <a:srcRect/>
                  <a:stretch>
                    <a:fillRect/>
                  </a:stretch>
                </pic:blipFill>
                <pic:spPr bwMode="auto">
                  <a:xfrm>
                    <a:off x="0" y="0"/>
                    <a:ext cx="3688994" cy="727100"/>
                  </a:xfrm>
                  <a:prstGeom prst="rect">
                    <a:avLst/>
                  </a:prstGeom>
                  <a:noFill/>
                  <a:ln w="9525">
                    <a:noFill/>
                    <a:miter lim="800000"/>
                    <a:headEnd/>
                    <a:tailEnd/>
                  </a:ln>
                </pic:spPr>
              </pic:pic>
            </a:graphicData>
          </a:graphic>
        </wp:inline>
      </w:drawing>
    </w:r>
  </w:p>
  <w:p w:rsidR="002F5F6D" w:rsidRDefault="002F5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7B5D"/>
    <w:multiLevelType w:val="hybridMultilevel"/>
    <w:tmpl w:val="AA82B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E1B58"/>
    <w:multiLevelType w:val="hybridMultilevel"/>
    <w:tmpl w:val="E99462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6579A"/>
    <w:multiLevelType w:val="hybridMultilevel"/>
    <w:tmpl w:val="F358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550B1"/>
    <w:multiLevelType w:val="hybridMultilevel"/>
    <w:tmpl w:val="CD0CC4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9262224"/>
    <w:multiLevelType w:val="hybridMultilevel"/>
    <w:tmpl w:val="FB4C2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4B2007"/>
    <w:multiLevelType w:val="hybridMultilevel"/>
    <w:tmpl w:val="AD48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E1F27"/>
    <w:multiLevelType w:val="hybridMultilevel"/>
    <w:tmpl w:val="4A24D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D5D5C"/>
    <w:multiLevelType w:val="hybridMultilevel"/>
    <w:tmpl w:val="9C52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01561C"/>
    <w:multiLevelType w:val="hybridMultilevel"/>
    <w:tmpl w:val="0466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4B577C"/>
    <w:multiLevelType w:val="hybridMultilevel"/>
    <w:tmpl w:val="D9E6FA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73E3ACB"/>
    <w:multiLevelType w:val="hybridMultilevel"/>
    <w:tmpl w:val="0D107D6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F133D9"/>
    <w:multiLevelType w:val="hybridMultilevel"/>
    <w:tmpl w:val="98B02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8C6E96"/>
    <w:multiLevelType w:val="hybridMultilevel"/>
    <w:tmpl w:val="90823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2D7150"/>
    <w:multiLevelType w:val="hybridMultilevel"/>
    <w:tmpl w:val="852A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95C2B"/>
    <w:multiLevelType w:val="hybridMultilevel"/>
    <w:tmpl w:val="6ED43C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B596645"/>
    <w:multiLevelType w:val="hybridMultilevel"/>
    <w:tmpl w:val="C802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14"/>
  </w:num>
  <w:num w:numId="6">
    <w:abstractNumId w:val="1"/>
  </w:num>
  <w:num w:numId="7">
    <w:abstractNumId w:val="9"/>
  </w:num>
  <w:num w:numId="8">
    <w:abstractNumId w:val="0"/>
  </w:num>
  <w:num w:numId="9">
    <w:abstractNumId w:val="7"/>
  </w:num>
  <w:num w:numId="10">
    <w:abstractNumId w:val="12"/>
  </w:num>
  <w:num w:numId="11">
    <w:abstractNumId w:val="10"/>
  </w:num>
  <w:num w:numId="12">
    <w:abstractNumId w:val="11"/>
  </w:num>
  <w:num w:numId="13">
    <w:abstractNumId w:val="6"/>
  </w:num>
  <w:num w:numId="14">
    <w:abstractNumId w:val="15"/>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AC"/>
    <w:rsid w:val="000219A0"/>
    <w:rsid w:val="00036FE8"/>
    <w:rsid w:val="0006043C"/>
    <w:rsid w:val="00094DB9"/>
    <w:rsid w:val="000C12B9"/>
    <w:rsid w:val="000C2117"/>
    <w:rsid w:val="00196E3C"/>
    <w:rsid w:val="001D0C6C"/>
    <w:rsid w:val="002252E7"/>
    <w:rsid w:val="00243843"/>
    <w:rsid w:val="002B1B28"/>
    <w:rsid w:val="002B5FEF"/>
    <w:rsid w:val="002B7FFA"/>
    <w:rsid w:val="002D430D"/>
    <w:rsid w:val="002E4C90"/>
    <w:rsid w:val="002F5F6D"/>
    <w:rsid w:val="00306A76"/>
    <w:rsid w:val="003107E0"/>
    <w:rsid w:val="003228D8"/>
    <w:rsid w:val="00345C68"/>
    <w:rsid w:val="00365D99"/>
    <w:rsid w:val="003669EC"/>
    <w:rsid w:val="00381F2B"/>
    <w:rsid w:val="00391BF8"/>
    <w:rsid w:val="00392BF0"/>
    <w:rsid w:val="0039643C"/>
    <w:rsid w:val="003D75B5"/>
    <w:rsid w:val="0043087F"/>
    <w:rsid w:val="00485F74"/>
    <w:rsid w:val="004A436C"/>
    <w:rsid w:val="004E21AC"/>
    <w:rsid w:val="00532E0F"/>
    <w:rsid w:val="005462D4"/>
    <w:rsid w:val="00617F27"/>
    <w:rsid w:val="00623738"/>
    <w:rsid w:val="00641C74"/>
    <w:rsid w:val="00665F1B"/>
    <w:rsid w:val="006C7C6F"/>
    <w:rsid w:val="007152E1"/>
    <w:rsid w:val="00743BF5"/>
    <w:rsid w:val="00763B93"/>
    <w:rsid w:val="007653A6"/>
    <w:rsid w:val="00783DE3"/>
    <w:rsid w:val="00790798"/>
    <w:rsid w:val="007A15F8"/>
    <w:rsid w:val="007F5E1D"/>
    <w:rsid w:val="00800BBB"/>
    <w:rsid w:val="00806E41"/>
    <w:rsid w:val="00831501"/>
    <w:rsid w:val="00844E86"/>
    <w:rsid w:val="00853B2A"/>
    <w:rsid w:val="008940D0"/>
    <w:rsid w:val="008A7879"/>
    <w:rsid w:val="008B00B3"/>
    <w:rsid w:val="008B61E6"/>
    <w:rsid w:val="008E21E2"/>
    <w:rsid w:val="0091199A"/>
    <w:rsid w:val="00921B89"/>
    <w:rsid w:val="00940520"/>
    <w:rsid w:val="009934EE"/>
    <w:rsid w:val="009A1F42"/>
    <w:rsid w:val="009A3AD7"/>
    <w:rsid w:val="00A11E64"/>
    <w:rsid w:val="00A17C0C"/>
    <w:rsid w:val="00A3182E"/>
    <w:rsid w:val="00A45EFB"/>
    <w:rsid w:val="00A52BC2"/>
    <w:rsid w:val="00A5726E"/>
    <w:rsid w:val="00A6226B"/>
    <w:rsid w:val="00A97078"/>
    <w:rsid w:val="00AB56B7"/>
    <w:rsid w:val="00B2625C"/>
    <w:rsid w:val="00B464FE"/>
    <w:rsid w:val="00B46F8C"/>
    <w:rsid w:val="00B83212"/>
    <w:rsid w:val="00B92C95"/>
    <w:rsid w:val="00BB3921"/>
    <w:rsid w:val="00BC379A"/>
    <w:rsid w:val="00BD09E3"/>
    <w:rsid w:val="00C02B53"/>
    <w:rsid w:val="00C16CA5"/>
    <w:rsid w:val="00C34071"/>
    <w:rsid w:val="00C36EE8"/>
    <w:rsid w:val="00C40149"/>
    <w:rsid w:val="00C75067"/>
    <w:rsid w:val="00C776A8"/>
    <w:rsid w:val="00C776FA"/>
    <w:rsid w:val="00C94A81"/>
    <w:rsid w:val="00CD572C"/>
    <w:rsid w:val="00CE7AAA"/>
    <w:rsid w:val="00D4454F"/>
    <w:rsid w:val="00D53066"/>
    <w:rsid w:val="00DF1F8F"/>
    <w:rsid w:val="00E13A0A"/>
    <w:rsid w:val="00E15FE4"/>
    <w:rsid w:val="00E330C0"/>
    <w:rsid w:val="00E657BB"/>
    <w:rsid w:val="00E73CD4"/>
    <w:rsid w:val="00E905FB"/>
    <w:rsid w:val="00E97DDA"/>
    <w:rsid w:val="00EB52C5"/>
    <w:rsid w:val="00EF11CC"/>
    <w:rsid w:val="00F02FF4"/>
    <w:rsid w:val="00F3728E"/>
    <w:rsid w:val="00F50B0F"/>
    <w:rsid w:val="00F725FF"/>
    <w:rsid w:val="00F857CC"/>
    <w:rsid w:val="00FA06EE"/>
    <w:rsid w:val="00FF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7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3A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21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21AC"/>
  </w:style>
  <w:style w:type="paragraph" w:styleId="Footer">
    <w:name w:val="footer"/>
    <w:basedOn w:val="Normal"/>
    <w:link w:val="FooterChar"/>
    <w:uiPriority w:val="99"/>
    <w:unhideWhenUsed/>
    <w:rsid w:val="004E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AC"/>
  </w:style>
  <w:style w:type="paragraph" w:styleId="BalloonText">
    <w:name w:val="Balloon Text"/>
    <w:basedOn w:val="Normal"/>
    <w:link w:val="BalloonTextChar"/>
    <w:uiPriority w:val="99"/>
    <w:semiHidden/>
    <w:unhideWhenUsed/>
    <w:rsid w:val="004E2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AC"/>
    <w:rPr>
      <w:rFonts w:ascii="Tahoma" w:hAnsi="Tahoma" w:cs="Tahoma"/>
      <w:sz w:val="16"/>
      <w:szCs w:val="16"/>
    </w:rPr>
  </w:style>
  <w:style w:type="character" w:styleId="Hyperlink">
    <w:name w:val="Hyperlink"/>
    <w:basedOn w:val="DefaultParagraphFont"/>
    <w:uiPriority w:val="99"/>
    <w:unhideWhenUsed/>
    <w:rsid w:val="004E21AC"/>
    <w:rPr>
      <w:color w:val="0000FF" w:themeColor="hyperlink"/>
      <w:u w:val="single"/>
    </w:rPr>
  </w:style>
  <w:style w:type="paragraph" w:styleId="NoSpacing">
    <w:name w:val="No Spacing"/>
    <w:uiPriority w:val="1"/>
    <w:qFormat/>
    <w:rsid w:val="002F5F6D"/>
    <w:pPr>
      <w:spacing w:after="0" w:line="240" w:lineRule="auto"/>
    </w:pPr>
  </w:style>
  <w:style w:type="paragraph" w:styleId="FootnoteText">
    <w:name w:val="footnote text"/>
    <w:basedOn w:val="Normal"/>
    <w:link w:val="FootnoteTextChar"/>
    <w:uiPriority w:val="99"/>
    <w:semiHidden/>
    <w:unhideWhenUsed/>
    <w:rsid w:val="00D530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066"/>
    <w:rPr>
      <w:sz w:val="20"/>
      <w:szCs w:val="20"/>
    </w:rPr>
  </w:style>
  <w:style w:type="character" w:styleId="FootnoteReference">
    <w:name w:val="footnote reference"/>
    <w:basedOn w:val="DefaultParagraphFont"/>
    <w:uiPriority w:val="99"/>
    <w:semiHidden/>
    <w:unhideWhenUsed/>
    <w:rsid w:val="00D53066"/>
    <w:rPr>
      <w:vertAlign w:val="superscript"/>
    </w:rPr>
  </w:style>
  <w:style w:type="paragraph" w:styleId="ListParagraph">
    <w:name w:val="List Paragraph"/>
    <w:basedOn w:val="Normal"/>
    <w:uiPriority w:val="34"/>
    <w:qFormat/>
    <w:rsid w:val="00AB56B7"/>
    <w:pPr>
      <w:ind w:left="720"/>
      <w:contextualSpacing/>
    </w:pPr>
  </w:style>
  <w:style w:type="paragraph" w:customStyle="1" w:styleId="Default">
    <w:name w:val="Default"/>
    <w:rsid w:val="00196E3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65F1B"/>
    <w:rPr>
      <w:sz w:val="16"/>
      <w:szCs w:val="16"/>
    </w:rPr>
  </w:style>
  <w:style w:type="paragraph" w:styleId="CommentText">
    <w:name w:val="annotation text"/>
    <w:basedOn w:val="Normal"/>
    <w:link w:val="CommentTextChar"/>
    <w:uiPriority w:val="99"/>
    <w:semiHidden/>
    <w:unhideWhenUsed/>
    <w:rsid w:val="00665F1B"/>
    <w:pPr>
      <w:spacing w:line="240" w:lineRule="auto"/>
    </w:pPr>
    <w:rPr>
      <w:sz w:val="20"/>
      <w:szCs w:val="20"/>
    </w:rPr>
  </w:style>
  <w:style w:type="character" w:customStyle="1" w:styleId="CommentTextChar">
    <w:name w:val="Comment Text Char"/>
    <w:basedOn w:val="DefaultParagraphFont"/>
    <w:link w:val="CommentText"/>
    <w:uiPriority w:val="99"/>
    <w:semiHidden/>
    <w:rsid w:val="00665F1B"/>
    <w:rPr>
      <w:sz w:val="20"/>
      <w:szCs w:val="20"/>
    </w:rPr>
  </w:style>
  <w:style w:type="paragraph" w:styleId="CommentSubject">
    <w:name w:val="annotation subject"/>
    <w:basedOn w:val="CommentText"/>
    <w:next w:val="CommentText"/>
    <w:link w:val="CommentSubjectChar"/>
    <w:uiPriority w:val="99"/>
    <w:semiHidden/>
    <w:unhideWhenUsed/>
    <w:rsid w:val="00665F1B"/>
    <w:rPr>
      <w:b/>
      <w:bCs/>
    </w:rPr>
  </w:style>
  <w:style w:type="character" w:customStyle="1" w:styleId="CommentSubjectChar">
    <w:name w:val="Comment Subject Char"/>
    <w:basedOn w:val="CommentTextChar"/>
    <w:link w:val="CommentSubject"/>
    <w:uiPriority w:val="99"/>
    <w:semiHidden/>
    <w:rsid w:val="00665F1B"/>
    <w:rPr>
      <w:b/>
      <w:bCs/>
      <w:sz w:val="20"/>
      <w:szCs w:val="20"/>
    </w:rPr>
  </w:style>
  <w:style w:type="character" w:customStyle="1" w:styleId="Heading2Char">
    <w:name w:val="Heading 2 Char"/>
    <w:basedOn w:val="DefaultParagraphFont"/>
    <w:link w:val="Heading2"/>
    <w:uiPriority w:val="9"/>
    <w:rsid w:val="00A572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3A0A"/>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B464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64F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7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3A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21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21AC"/>
  </w:style>
  <w:style w:type="paragraph" w:styleId="Footer">
    <w:name w:val="footer"/>
    <w:basedOn w:val="Normal"/>
    <w:link w:val="FooterChar"/>
    <w:uiPriority w:val="99"/>
    <w:unhideWhenUsed/>
    <w:rsid w:val="004E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AC"/>
  </w:style>
  <w:style w:type="paragraph" w:styleId="BalloonText">
    <w:name w:val="Balloon Text"/>
    <w:basedOn w:val="Normal"/>
    <w:link w:val="BalloonTextChar"/>
    <w:uiPriority w:val="99"/>
    <w:semiHidden/>
    <w:unhideWhenUsed/>
    <w:rsid w:val="004E2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AC"/>
    <w:rPr>
      <w:rFonts w:ascii="Tahoma" w:hAnsi="Tahoma" w:cs="Tahoma"/>
      <w:sz w:val="16"/>
      <w:szCs w:val="16"/>
    </w:rPr>
  </w:style>
  <w:style w:type="character" w:styleId="Hyperlink">
    <w:name w:val="Hyperlink"/>
    <w:basedOn w:val="DefaultParagraphFont"/>
    <w:uiPriority w:val="99"/>
    <w:unhideWhenUsed/>
    <w:rsid w:val="004E21AC"/>
    <w:rPr>
      <w:color w:val="0000FF" w:themeColor="hyperlink"/>
      <w:u w:val="single"/>
    </w:rPr>
  </w:style>
  <w:style w:type="paragraph" w:styleId="NoSpacing">
    <w:name w:val="No Spacing"/>
    <w:uiPriority w:val="1"/>
    <w:qFormat/>
    <w:rsid w:val="002F5F6D"/>
    <w:pPr>
      <w:spacing w:after="0" w:line="240" w:lineRule="auto"/>
    </w:pPr>
  </w:style>
  <w:style w:type="paragraph" w:styleId="FootnoteText">
    <w:name w:val="footnote text"/>
    <w:basedOn w:val="Normal"/>
    <w:link w:val="FootnoteTextChar"/>
    <w:uiPriority w:val="99"/>
    <w:semiHidden/>
    <w:unhideWhenUsed/>
    <w:rsid w:val="00D530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066"/>
    <w:rPr>
      <w:sz w:val="20"/>
      <w:szCs w:val="20"/>
    </w:rPr>
  </w:style>
  <w:style w:type="character" w:styleId="FootnoteReference">
    <w:name w:val="footnote reference"/>
    <w:basedOn w:val="DefaultParagraphFont"/>
    <w:uiPriority w:val="99"/>
    <w:semiHidden/>
    <w:unhideWhenUsed/>
    <w:rsid w:val="00D53066"/>
    <w:rPr>
      <w:vertAlign w:val="superscript"/>
    </w:rPr>
  </w:style>
  <w:style w:type="paragraph" w:styleId="ListParagraph">
    <w:name w:val="List Paragraph"/>
    <w:basedOn w:val="Normal"/>
    <w:uiPriority w:val="34"/>
    <w:qFormat/>
    <w:rsid w:val="00AB56B7"/>
    <w:pPr>
      <w:ind w:left="720"/>
      <w:contextualSpacing/>
    </w:pPr>
  </w:style>
  <w:style w:type="paragraph" w:customStyle="1" w:styleId="Default">
    <w:name w:val="Default"/>
    <w:rsid w:val="00196E3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65F1B"/>
    <w:rPr>
      <w:sz w:val="16"/>
      <w:szCs w:val="16"/>
    </w:rPr>
  </w:style>
  <w:style w:type="paragraph" w:styleId="CommentText">
    <w:name w:val="annotation text"/>
    <w:basedOn w:val="Normal"/>
    <w:link w:val="CommentTextChar"/>
    <w:uiPriority w:val="99"/>
    <w:semiHidden/>
    <w:unhideWhenUsed/>
    <w:rsid w:val="00665F1B"/>
    <w:pPr>
      <w:spacing w:line="240" w:lineRule="auto"/>
    </w:pPr>
    <w:rPr>
      <w:sz w:val="20"/>
      <w:szCs w:val="20"/>
    </w:rPr>
  </w:style>
  <w:style w:type="character" w:customStyle="1" w:styleId="CommentTextChar">
    <w:name w:val="Comment Text Char"/>
    <w:basedOn w:val="DefaultParagraphFont"/>
    <w:link w:val="CommentText"/>
    <w:uiPriority w:val="99"/>
    <w:semiHidden/>
    <w:rsid w:val="00665F1B"/>
    <w:rPr>
      <w:sz w:val="20"/>
      <w:szCs w:val="20"/>
    </w:rPr>
  </w:style>
  <w:style w:type="paragraph" w:styleId="CommentSubject">
    <w:name w:val="annotation subject"/>
    <w:basedOn w:val="CommentText"/>
    <w:next w:val="CommentText"/>
    <w:link w:val="CommentSubjectChar"/>
    <w:uiPriority w:val="99"/>
    <w:semiHidden/>
    <w:unhideWhenUsed/>
    <w:rsid w:val="00665F1B"/>
    <w:rPr>
      <w:b/>
      <w:bCs/>
    </w:rPr>
  </w:style>
  <w:style w:type="character" w:customStyle="1" w:styleId="CommentSubjectChar">
    <w:name w:val="Comment Subject Char"/>
    <w:basedOn w:val="CommentTextChar"/>
    <w:link w:val="CommentSubject"/>
    <w:uiPriority w:val="99"/>
    <w:semiHidden/>
    <w:rsid w:val="00665F1B"/>
    <w:rPr>
      <w:b/>
      <w:bCs/>
      <w:sz w:val="20"/>
      <w:szCs w:val="20"/>
    </w:rPr>
  </w:style>
  <w:style w:type="character" w:customStyle="1" w:styleId="Heading2Char">
    <w:name w:val="Heading 2 Char"/>
    <w:basedOn w:val="DefaultParagraphFont"/>
    <w:link w:val="Heading2"/>
    <w:uiPriority w:val="9"/>
    <w:rsid w:val="00A572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3A0A"/>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B464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64F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36670">
      <w:bodyDiv w:val="1"/>
      <w:marLeft w:val="0"/>
      <w:marRight w:val="0"/>
      <w:marTop w:val="0"/>
      <w:marBottom w:val="0"/>
      <w:divBdr>
        <w:top w:val="none" w:sz="0" w:space="0" w:color="auto"/>
        <w:left w:val="none" w:sz="0" w:space="0" w:color="auto"/>
        <w:bottom w:val="none" w:sz="0" w:space="0" w:color="auto"/>
        <w:right w:val="none" w:sz="0" w:space="0" w:color="auto"/>
      </w:divBdr>
    </w:div>
    <w:div w:id="20242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nmlsconsumeraccess.org"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admin.csb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dmin.csbs.org/regulatory/policy/Documents/CSBS-AARMRCommentLetterOnLargerParticipant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SBS Document" ma:contentTypeID="0x010100A74E2E38B04E98469605609619225C4A00F7AA6BB011351A4B9EB03C5673846D43" ma:contentTypeVersion="1" ma:contentTypeDescription="" ma:contentTypeScope="" ma:versionID="954e085326878dacb41ce59f4a1ba306">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31A68FF-E31B-424B-8764-AA3139CC7EE0}"/>
</file>

<file path=customXml/itemProps2.xml><?xml version="1.0" encoding="utf-8"?>
<ds:datastoreItem xmlns:ds="http://schemas.openxmlformats.org/officeDocument/2006/customXml" ds:itemID="{93374A3F-BEBC-4570-BD95-9094CE78A3AC}"/>
</file>

<file path=customXml/itemProps3.xml><?xml version="1.0" encoding="utf-8"?>
<ds:datastoreItem xmlns:ds="http://schemas.openxmlformats.org/officeDocument/2006/customXml" ds:itemID="{5C13AEDC-E1D9-467C-BA43-D435386AB35E}"/>
</file>

<file path=customXml/itemProps4.xml><?xml version="1.0" encoding="utf-8"?>
<ds:datastoreItem xmlns:ds="http://schemas.openxmlformats.org/officeDocument/2006/customXml" ds:itemID="{C752EE5A-C23C-44FA-B219-EE5CDDF891B6}"/>
</file>

<file path=docProps/app.xml><?xml version="1.0" encoding="utf-8"?>
<Properties xmlns="http://schemas.openxmlformats.org/officeDocument/2006/extended-properties" xmlns:vt="http://schemas.openxmlformats.org/officeDocument/2006/docPropsVTypes">
  <Template>Normal.dotm</Template>
  <TotalTime>4</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Conference of State Bank Supervisors</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CSBSCommentsonCFPBDebtCollection</dc:title>
  <dc:creator>Catherine Woody</dc:creator>
  <cp:lastModifiedBy>Nathan Ross</cp:lastModifiedBy>
  <cp:revision>3</cp:revision>
  <cp:lastPrinted>2014-02-28T21:07:00Z</cp:lastPrinted>
  <dcterms:created xsi:type="dcterms:W3CDTF">2014-02-28T21:39:00Z</dcterms:created>
  <dcterms:modified xsi:type="dcterms:W3CDTF">2014-02-28T21:43:00Z</dcterms:modified>
  <cp:contentType>CSBS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0x010100A74E2E38B04E98469605609619225C4A00F7AA6BB011351A4B9EB03C5673846D43</vt:lpwstr>
  </property>
</Properties>
</file>