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760" w:type="dxa"/>
        <w:tblInd w:w="265" w:type="dxa"/>
        <w:tblLook w:val="04A0" w:firstRow="1" w:lastRow="0" w:firstColumn="1" w:lastColumn="0" w:noHBand="0" w:noVBand="1"/>
      </w:tblPr>
      <w:tblGrid>
        <w:gridCol w:w="1418"/>
        <w:gridCol w:w="9095"/>
        <w:gridCol w:w="4247"/>
      </w:tblGrid>
      <w:tr w:rsidR="00132F69" w:rsidRPr="00132F69" w14:paraId="7CFAD2F9" w14:textId="77777777" w:rsidTr="00132F69">
        <w:trPr>
          <w:trHeight w:val="269"/>
        </w:trPr>
        <w:tc>
          <w:tcPr>
            <w:tcW w:w="1418" w:type="dxa"/>
            <w:shd w:val="clear" w:color="auto" w:fill="D9E2F3" w:themeFill="accent1" w:themeFillTint="33"/>
          </w:tcPr>
          <w:p w14:paraId="672DC66B" w14:textId="1FE8F9C0" w:rsidR="002D3D42" w:rsidRPr="00132F69" w:rsidRDefault="00CA7646">
            <w:pPr>
              <w:rPr>
                <w:b/>
                <w:bCs/>
                <w:sz w:val="18"/>
                <w:szCs w:val="18"/>
              </w:rPr>
            </w:pPr>
            <w:r w:rsidRPr="00132F69">
              <w:rPr>
                <w:b/>
                <w:bCs/>
                <w:sz w:val="18"/>
                <w:szCs w:val="18"/>
              </w:rPr>
              <w:t>Rule</w:t>
            </w:r>
          </w:p>
        </w:tc>
        <w:tc>
          <w:tcPr>
            <w:tcW w:w="9095" w:type="dxa"/>
            <w:shd w:val="clear" w:color="auto" w:fill="8EAADB" w:themeFill="accent1" w:themeFillTint="99"/>
          </w:tcPr>
          <w:p w14:paraId="6221F0C7" w14:textId="32530DDB" w:rsidR="002D3D42" w:rsidRPr="00132F69" w:rsidRDefault="00CA7646">
            <w:pPr>
              <w:rPr>
                <w:b/>
                <w:bCs/>
                <w:sz w:val="18"/>
                <w:szCs w:val="18"/>
              </w:rPr>
            </w:pPr>
            <w:r w:rsidRPr="00132F69">
              <w:rPr>
                <w:b/>
                <w:bCs/>
                <w:sz w:val="18"/>
                <w:szCs w:val="18"/>
              </w:rPr>
              <w:t>Computer-Security Incident Notification Requirements for Banking Organizations and Their Bank Service Providers [</w:t>
            </w:r>
            <w:hyperlink r:id="rId11" w:history="1">
              <w:r w:rsidR="00273BBC" w:rsidRPr="00132F69">
                <w:rPr>
                  <w:rStyle w:val="Hyperlink"/>
                  <w:b/>
                  <w:bCs/>
                  <w:sz w:val="18"/>
                  <w:szCs w:val="18"/>
                </w:rPr>
                <w:t>Final Rule</w:t>
              </w:r>
            </w:hyperlink>
            <w:r w:rsidR="00273BBC" w:rsidRPr="00132F69">
              <w:rPr>
                <w:b/>
                <w:bCs/>
                <w:sz w:val="18"/>
                <w:szCs w:val="18"/>
              </w:rPr>
              <w:t>]</w:t>
            </w:r>
          </w:p>
        </w:tc>
        <w:tc>
          <w:tcPr>
            <w:tcW w:w="4247" w:type="dxa"/>
            <w:shd w:val="clear" w:color="auto" w:fill="8EAADB" w:themeFill="accent1" w:themeFillTint="99"/>
          </w:tcPr>
          <w:p w14:paraId="4B1EF070" w14:textId="4BA73686" w:rsidR="002D3D42" w:rsidRPr="00132F69" w:rsidRDefault="00CA7646">
            <w:pPr>
              <w:rPr>
                <w:b/>
                <w:bCs/>
                <w:sz w:val="18"/>
                <w:szCs w:val="18"/>
              </w:rPr>
            </w:pPr>
            <w:r w:rsidRPr="00132F69">
              <w:rPr>
                <w:b/>
                <w:bCs/>
                <w:sz w:val="18"/>
                <w:szCs w:val="18"/>
              </w:rPr>
              <w:t xml:space="preserve">Proposal for Requirement that FIs Report Security Events to the FTC </w:t>
            </w:r>
            <w:r w:rsidR="00273BBC" w:rsidRPr="00132F69">
              <w:rPr>
                <w:b/>
                <w:bCs/>
                <w:sz w:val="18"/>
                <w:szCs w:val="18"/>
              </w:rPr>
              <w:t>[</w:t>
            </w:r>
            <w:hyperlink r:id="rId12" w:history="1">
              <w:r w:rsidR="00273BBC" w:rsidRPr="00132F69">
                <w:rPr>
                  <w:rStyle w:val="Hyperlink"/>
                  <w:b/>
                  <w:bCs/>
                  <w:sz w:val="18"/>
                  <w:szCs w:val="18"/>
                </w:rPr>
                <w:t>Supplemental NPRM</w:t>
              </w:r>
            </w:hyperlink>
            <w:r w:rsidR="00273BBC" w:rsidRPr="00132F69">
              <w:rPr>
                <w:b/>
                <w:bCs/>
                <w:sz w:val="18"/>
                <w:szCs w:val="18"/>
              </w:rPr>
              <w:t>]</w:t>
            </w:r>
          </w:p>
        </w:tc>
      </w:tr>
      <w:tr w:rsidR="00132F69" w:rsidRPr="00132F69" w14:paraId="41019165" w14:textId="77777777" w:rsidTr="00132F69">
        <w:trPr>
          <w:trHeight w:val="269"/>
        </w:trPr>
        <w:tc>
          <w:tcPr>
            <w:tcW w:w="1418" w:type="dxa"/>
            <w:shd w:val="clear" w:color="auto" w:fill="D9E2F3" w:themeFill="accent1" w:themeFillTint="33"/>
          </w:tcPr>
          <w:p w14:paraId="7B80998A" w14:textId="02007342" w:rsidR="00CA7646" w:rsidRPr="00132F69" w:rsidRDefault="00CA7646">
            <w:pPr>
              <w:rPr>
                <w:b/>
                <w:bCs/>
                <w:sz w:val="18"/>
                <w:szCs w:val="18"/>
              </w:rPr>
            </w:pPr>
            <w:r w:rsidRPr="00132F69">
              <w:rPr>
                <w:b/>
                <w:bCs/>
                <w:sz w:val="18"/>
                <w:szCs w:val="18"/>
              </w:rPr>
              <w:t xml:space="preserve">Agency </w:t>
            </w:r>
          </w:p>
        </w:tc>
        <w:tc>
          <w:tcPr>
            <w:tcW w:w="9095" w:type="dxa"/>
          </w:tcPr>
          <w:p w14:paraId="0F8F48BC" w14:textId="5D6F39EA" w:rsidR="00CA7646" w:rsidRPr="00132F69" w:rsidRDefault="00072C98">
            <w:pPr>
              <w:rPr>
                <w:sz w:val="18"/>
                <w:szCs w:val="18"/>
              </w:rPr>
            </w:pPr>
            <w:r w:rsidRPr="00132F69">
              <w:rPr>
                <w:sz w:val="18"/>
                <w:szCs w:val="18"/>
              </w:rPr>
              <w:t xml:space="preserve">OCC, </w:t>
            </w:r>
            <w:r w:rsidR="00596C0F" w:rsidRPr="00132F69">
              <w:rPr>
                <w:sz w:val="18"/>
                <w:szCs w:val="18"/>
              </w:rPr>
              <w:t>FRB</w:t>
            </w:r>
            <w:r w:rsidRPr="00132F69">
              <w:rPr>
                <w:sz w:val="18"/>
                <w:szCs w:val="18"/>
              </w:rPr>
              <w:t>,</w:t>
            </w:r>
            <w:r w:rsidR="00596C0F" w:rsidRPr="00132F69">
              <w:rPr>
                <w:sz w:val="18"/>
                <w:szCs w:val="18"/>
              </w:rPr>
              <w:t xml:space="preserve"> and</w:t>
            </w:r>
            <w:r w:rsidRPr="00132F69">
              <w:rPr>
                <w:sz w:val="18"/>
                <w:szCs w:val="18"/>
              </w:rPr>
              <w:t xml:space="preserve"> FDIC </w:t>
            </w:r>
          </w:p>
        </w:tc>
        <w:tc>
          <w:tcPr>
            <w:tcW w:w="4247" w:type="dxa"/>
          </w:tcPr>
          <w:p w14:paraId="06E602AE" w14:textId="5A774C30" w:rsidR="00CA7646" w:rsidRPr="00132F69" w:rsidRDefault="00072C98">
            <w:pPr>
              <w:rPr>
                <w:sz w:val="18"/>
                <w:szCs w:val="18"/>
              </w:rPr>
            </w:pPr>
            <w:r w:rsidRPr="00132F69">
              <w:rPr>
                <w:sz w:val="18"/>
                <w:szCs w:val="18"/>
              </w:rPr>
              <w:t>FTC</w:t>
            </w:r>
          </w:p>
        </w:tc>
      </w:tr>
      <w:tr w:rsidR="007B6C5F" w:rsidRPr="00132F69" w14:paraId="4A77ED8C" w14:textId="77777777" w:rsidTr="00132F69">
        <w:trPr>
          <w:trHeight w:val="269"/>
        </w:trPr>
        <w:tc>
          <w:tcPr>
            <w:tcW w:w="1418" w:type="dxa"/>
            <w:shd w:val="clear" w:color="auto" w:fill="D9E2F3" w:themeFill="accent1" w:themeFillTint="33"/>
          </w:tcPr>
          <w:p w14:paraId="2B54544A" w14:textId="6B9CDDE8" w:rsidR="007B6C5F" w:rsidRPr="00132F69" w:rsidRDefault="007B6C5F">
            <w:pPr>
              <w:rPr>
                <w:b/>
                <w:bCs/>
                <w:sz w:val="18"/>
                <w:szCs w:val="18"/>
              </w:rPr>
            </w:pPr>
            <w:r w:rsidRPr="00132F69">
              <w:rPr>
                <w:b/>
                <w:bCs/>
                <w:sz w:val="18"/>
                <w:szCs w:val="18"/>
              </w:rPr>
              <w:t xml:space="preserve">Effective Date </w:t>
            </w:r>
          </w:p>
        </w:tc>
        <w:tc>
          <w:tcPr>
            <w:tcW w:w="9095" w:type="dxa"/>
          </w:tcPr>
          <w:p w14:paraId="5D326EF3" w14:textId="56110A89" w:rsidR="007B6C5F" w:rsidRPr="00132F69" w:rsidRDefault="00E16079">
            <w:pPr>
              <w:rPr>
                <w:sz w:val="18"/>
                <w:szCs w:val="18"/>
              </w:rPr>
            </w:pPr>
            <w:r w:rsidRPr="00132F69">
              <w:rPr>
                <w:sz w:val="18"/>
                <w:szCs w:val="18"/>
              </w:rPr>
              <w:t>Effective date: April 1, 2022</w:t>
            </w:r>
            <w:r w:rsidR="00072C98" w:rsidRPr="00132F69">
              <w:rPr>
                <w:sz w:val="18"/>
                <w:szCs w:val="18"/>
              </w:rPr>
              <w:t xml:space="preserve">; </w:t>
            </w:r>
            <w:r w:rsidRPr="00132F69">
              <w:rPr>
                <w:sz w:val="18"/>
                <w:szCs w:val="18"/>
              </w:rPr>
              <w:t>Compliance date: May 1, 2022</w:t>
            </w:r>
          </w:p>
        </w:tc>
        <w:tc>
          <w:tcPr>
            <w:tcW w:w="4247" w:type="dxa"/>
          </w:tcPr>
          <w:p w14:paraId="72D758D6" w14:textId="7EBA574D" w:rsidR="007B6C5F" w:rsidRPr="00132F69" w:rsidRDefault="00C115F0">
            <w:pPr>
              <w:rPr>
                <w:sz w:val="18"/>
                <w:szCs w:val="18"/>
              </w:rPr>
            </w:pPr>
            <w:r w:rsidRPr="00132F69">
              <w:rPr>
                <w:sz w:val="18"/>
                <w:szCs w:val="18"/>
              </w:rPr>
              <w:t xml:space="preserve">6 months after publication of </w:t>
            </w:r>
            <w:r w:rsidR="00E16079" w:rsidRPr="00132F69">
              <w:rPr>
                <w:sz w:val="18"/>
                <w:szCs w:val="18"/>
              </w:rPr>
              <w:t xml:space="preserve">a </w:t>
            </w:r>
            <w:r w:rsidRPr="00132F69">
              <w:rPr>
                <w:sz w:val="18"/>
                <w:szCs w:val="18"/>
              </w:rPr>
              <w:t>final rule</w:t>
            </w:r>
          </w:p>
        </w:tc>
      </w:tr>
      <w:tr w:rsidR="00132F69" w:rsidRPr="00132F69" w14:paraId="5D0FF4F7" w14:textId="77777777" w:rsidTr="00132F69">
        <w:trPr>
          <w:trHeight w:val="269"/>
        </w:trPr>
        <w:tc>
          <w:tcPr>
            <w:tcW w:w="1418" w:type="dxa"/>
            <w:shd w:val="clear" w:color="auto" w:fill="D9E2F3" w:themeFill="accent1" w:themeFillTint="33"/>
          </w:tcPr>
          <w:p w14:paraId="05A152A8" w14:textId="0D5DF292" w:rsidR="00EE0657" w:rsidRPr="00132F69" w:rsidRDefault="00CA7646">
            <w:pPr>
              <w:rPr>
                <w:b/>
                <w:bCs/>
                <w:sz w:val="18"/>
                <w:szCs w:val="18"/>
              </w:rPr>
            </w:pPr>
            <w:r w:rsidRPr="00132F69">
              <w:rPr>
                <w:b/>
                <w:bCs/>
                <w:sz w:val="18"/>
                <w:szCs w:val="18"/>
              </w:rPr>
              <w:t xml:space="preserve">Applicability </w:t>
            </w:r>
          </w:p>
        </w:tc>
        <w:tc>
          <w:tcPr>
            <w:tcW w:w="9095" w:type="dxa"/>
          </w:tcPr>
          <w:p w14:paraId="5BD9DEDB" w14:textId="77777777" w:rsidR="00072C98" w:rsidRPr="00132F69" w:rsidRDefault="00AB4DD1">
            <w:pPr>
              <w:rPr>
                <w:sz w:val="18"/>
                <w:szCs w:val="18"/>
              </w:rPr>
            </w:pPr>
            <w:r w:rsidRPr="00132F69">
              <w:rPr>
                <w:sz w:val="18"/>
                <w:szCs w:val="18"/>
              </w:rPr>
              <w:t xml:space="preserve">(1) </w:t>
            </w:r>
            <w:r w:rsidRPr="00132F69">
              <w:rPr>
                <w:b/>
                <w:bCs/>
                <w:i/>
                <w:iCs/>
                <w:sz w:val="18"/>
                <w:szCs w:val="18"/>
              </w:rPr>
              <w:t>Banking organization</w:t>
            </w:r>
            <w:r w:rsidRPr="00132F69">
              <w:rPr>
                <w:sz w:val="18"/>
                <w:szCs w:val="18"/>
              </w:rPr>
              <w:t xml:space="preserve"> means a national bank, Federal savings association, or Federal branch or agency of a foreign bank; provided, however, that no designated financial market utility shall be considered a banking organization. </w:t>
            </w:r>
            <w:r w:rsidR="00072C98" w:rsidRPr="00132F69">
              <w:rPr>
                <w:sz w:val="18"/>
                <w:szCs w:val="18"/>
              </w:rPr>
              <w:t xml:space="preserve"> </w:t>
            </w:r>
          </w:p>
          <w:p w14:paraId="18EC98AD" w14:textId="794EB746" w:rsidR="00EE0657" w:rsidRPr="00132F69" w:rsidRDefault="00AB4DD1">
            <w:pPr>
              <w:rPr>
                <w:sz w:val="18"/>
                <w:szCs w:val="18"/>
              </w:rPr>
            </w:pPr>
            <w:r w:rsidRPr="00132F69">
              <w:rPr>
                <w:sz w:val="18"/>
                <w:szCs w:val="18"/>
              </w:rPr>
              <w:t xml:space="preserve">(2) </w:t>
            </w:r>
            <w:r w:rsidRPr="00132F69">
              <w:rPr>
                <w:b/>
                <w:bCs/>
                <w:i/>
                <w:iCs/>
                <w:sz w:val="18"/>
                <w:szCs w:val="18"/>
              </w:rPr>
              <w:t>Bank service provider</w:t>
            </w:r>
            <w:r w:rsidRPr="00132F69">
              <w:rPr>
                <w:sz w:val="18"/>
                <w:szCs w:val="18"/>
              </w:rPr>
              <w:t xml:space="preserve"> means a bank service company or other person that performs covered services; provided, however, that no designated financial market utility shall be considered a bank service provider.</w:t>
            </w:r>
          </w:p>
        </w:tc>
        <w:tc>
          <w:tcPr>
            <w:tcW w:w="4247" w:type="dxa"/>
          </w:tcPr>
          <w:p w14:paraId="47A9EDAE" w14:textId="1498BFCE" w:rsidR="00EE0657" w:rsidRPr="00132F69" w:rsidRDefault="00072C98">
            <w:pPr>
              <w:rPr>
                <w:sz w:val="18"/>
                <w:szCs w:val="18"/>
              </w:rPr>
            </w:pPr>
            <w:r w:rsidRPr="00132F69">
              <w:rPr>
                <w:sz w:val="18"/>
                <w:szCs w:val="18"/>
              </w:rPr>
              <w:t>FI’s over which the FTC has jurisdiction - those entities include, but are not limited to, mortgage lenders, ‘‘pay day’’ lenders, finance companies, mortgage brokers, account servicers, check cashers, wire transferors, travel agencies operated in connection with financial services, collection agencies, credit counselors and other financial advisors, tax preparation firms, non-federally insured credit unions, investment advisors that are not required to register with the</w:t>
            </w:r>
            <w:r w:rsidR="00596C0F" w:rsidRPr="00132F69">
              <w:rPr>
                <w:sz w:val="18"/>
                <w:szCs w:val="18"/>
              </w:rPr>
              <w:t xml:space="preserve"> SEC</w:t>
            </w:r>
            <w:r w:rsidRPr="00132F69">
              <w:rPr>
                <w:sz w:val="18"/>
                <w:szCs w:val="18"/>
              </w:rPr>
              <w:t xml:space="preserve">, and entities acting as finders. </w:t>
            </w:r>
          </w:p>
        </w:tc>
      </w:tr>
      <w:tr w:rsidR="00132F69" w:rsidRPr="00132F69" w14:paraId="44382FC6" w14:textId="77777777" w:rsidTr="00132F69">
        <w:trPr>
          <w:trHeight w:val="269"/>
        </w:trPr>
        <w:tc>
          <w:tcPr>
            <w:tcW w:w="1418" w:type="dxa"/>
            <w:shd w:val="clear" w:color="auto" w:fill="D9E2F3" w:themeFill="accent1" w:themeFillTint="33"/>
          </w:tcPr>
          <w:p w14:paraId="21482B94" w14:textId="7B3F343F" w:rsidR="009A35A2" w:rsidRPr="00132F69" w:rsidRDefault="009A35A2" w:rsidP="00CA7646">
            <w:pPr>
              <w:rPr>
                <w:b/>
                <w:bCs/>
                <w:sz w:val="18"/>
                <w:szCs w:val="18"/>
              </w:rPr>
            </w:pPr>
            <w:r w:rsidRPr="00132F69">
              <w:rPr>
                <w:b/>
                <w:bCs/>
                <w:sz w:val="18"/>
                <w:szCs w:val="18"/>
              </w:rPr>
              <w:t xml:space="preserve">Notification Event </w:t>
            </w:r>
          </w:p>
        </w:tc>
        <w:tc>
          <w:tcPr>
            <w:tcW w:w="9095" w:type="dxa"/>
          </w:tcPr>
          <w:p w14:paraId="3D193904" w14:textId="1A1601C0" w:rsidR="009A35A2" w:rsidRPr="00132F69" w:rsidRDefault="007A0748" w:rsidP="007A0748">
            <w:pPr>
              <w:rPr>
                <w:sz w:val="18"/>
                <w:szCs w:val="18"/>
              </w:rPr>
            </w:pPr>
            <w:r w:rsidRPr="00132F69">
              <w:rPr>
                <w:b/>
                <w:bCs/>
                <w:i/>
                <w:iCs/>
                <w:sz w:val="18"/>
                <w:szCs w:val="18"/>
              </w:rPr>
              <w:t>Financial Institutions</w:t>
            </w:r>
            <w:r w:rsidRPr="00132F69">
              <w:rPr>
                <w:sz w:val="18"/>
                <w:szCs w:val="18"/>
              </w:rPr>
              <w:br/>
              <w:t xml:space="preserve">For covered banking organizations, the new notification requirements are triggered in the event a bank experiences a </w:t>
            </w:r>
            <w:r w:rsidR="004D46D1" w:rsidRPr="00132F69">
              <w:rPr>
                <w:sz w:val="18"/>
                <w:szCs w:val="18"/>
              </w:rPr>
              <w:t xml:space="preserve">“notification incident” </w:t>
            </w:r>
            <w:r w:rsidRPr="00132F69">
              <w:rPr>
                <w:sz w:val="18"/>
                <w:szCs w:val="18"/>
              </w:rPr>
              <w:t>defined as a security event resulting in actual harm to the confidentiality, integrity or availability of the bank’s information system or the information that the system processes, stores or transmits and which has—or is reasonably likely to—disrupt or degrade its: ability to carry out banking operations or deliver banking products or services to a material portion of its customers; business lines which, upon failure, would result in a material loss of revenue or franchise value; or operations which, upon failure or discontinuance, would pose a threat to the financial stability of the nation.</w:t>
            </w:r>
          </w:p>
          <w:p w14:paraId="3888DE4F" w14:textId="52A82761" w:rsidR="007A0748" w:rsidRPr="00132F69" w:rsidRDefault="007A0748" w:rsidP="007A0748">
            <w:pPr>
              <w:rPr>
                <w:sz w:val="18"/>
                <w:szCs w:val="18"/>
              </w:rPr>
            </w:pPr>
          </w:p>
          <w:p w14:paraId="136C97D7" w14:textId="77777777" w:rsidR="007A0748" w:rsidRPr="00132F69" w:rsidRDefault="007A0748" w:rsidP="007A0748">
            <w:pPr>
              <w:rPr>
                <w:b/>
                <w:bCs/>
                <w:i/>
                <w:iCs/>
                <w:sz w:val="18"/>
                <w:szCs w:val="18"/>
              </w:rPr>
            </w:pPr>
            <w:r w:rsidRPr="00132F69">
              <w:rPr>
                <w:b/>
                <w:bCs/>
                <w:i/>
                <w:iCs/>
                <w:sz w:val="18"/>
                <w:szCs w:val="18"/>
              </w:rPr>
              <w:t xml:space="preserve">Bank Service Providers </w:t>
            </w:r>
          </w:p>
          <w:p w14:paraId="68BC8017" w14:textId="0F7B8D69" w:rsidR="009A35A2" w:rsidRPr="00132F69" w:rsidRDefault="0025413F" w:rsidP="00CA7646">
            <w:pPr>
              <w:rPr>
                <w:sz w:val="18"/>
                <w:szCs w:val="18"/>
              </w:rPr>
            </w:pPr>
            <w:r w:rsidRPr="00132F69">
              <w:rPr>
                <w:sz w:val="18"/>
                <w:szCs w:val="18"/>
              </w:rPr>
              <w:t xml:space="preserve">For service providers, the new notification requirements are triggered when a service provider experiences an incident resulting in actual harm to the confidentiality, integrity or availability of the service provider’s information system or the information that the system processes, stores or transmits and which has—or is reasonably likely to—disrupt or degrade the services it provides for a period of </w:t>
            </w:r>
            <w:r w:rsidRPr="00132F69">
              <w:rPr>
                <w:b/>
                <w:bCs/>
                <w:sz w:val="18"/>
                <w:szCs w:val="18"/>
                <w:u w:val="single"/>
              </w:rPr>
              <w:t>4 or more hours</w:t>
            </w:r>
            <w:r w:rsidRPr="00132F69">
              <w:rPr>
                <w:sz w:val="18"/>
                <w:szCs w:val="18"/>
              </w:rPr>
              <w:t>.</w:t>
            </w:r>
          </w:p>
        </w:tc>
        <w:tc>
          <w:tcPr>
            <w:tcW w:w="4247" w:type="dxa"/>
          </w:tcPr>
          <w:p w14:paraId="095B7C63" w14:textId="143BAF82" w:rsidR="00C115F0" w:rsidRPr="00132F69" w:rsidRDefault="00C115F0" w:rsidP="00C115F0">
            <w:pPr>
              <w:spacing w:after="160" w:line="259" w:lineRule="auto"/>
              <w:rPr>
                <w:sz w:val="18"/>
                <w:szCs w:val="18"/>
              </w:rPr>
            </w:pPr>
            <w:r w:rsidRPr="00132F69">
              <w:rPr>
                <w:sz w:val="18"/>
                <w:szCs w:val="18"/>
              </w:rPr>
              <w:t xml:space="preserve">When </w:t>
            </w:r>
            <w:r w:rsidR="00B46F8C">
              <w:rPr>
                <w:sz w:val="18"/>
                <w:szCs w:val="18"/>
              </w:rPr>
              <w:t>FI</w:t>
            </w:r>
            <w:r w:rsidRPr="00132F69">
              <w:rPr>
                <w:sz w:val="18"/>
                <w:szCs w:val="18"/>
              </w:rPr>
              <w:t xml:space="preserve"> become</w:t>
            </w:r>
            <w:r w:rsidR="00B46F8C">
              <w:rPr>
                <w:sz w:val="18"/>
                <w:szCs w:val="18"/>
              </w:rPr>
              <w:t>s</w:t>
            </w:r>
            <w:r w:rsidRPr="00132F69">
              <w:rPr>
                <w:sz w:val="18"/>
                <w:szCs w:val="18"/>
              </w:rPr>
              <w:t xml:space="preserve"> aware of a security event,</w:t>
            </w:r>
            <w:r w:rsidR="008C0633">
              <w:rPr>
                <w:sz w:val="18"/>
                <w:szCs w:val="18"/>
              </w:rPr>
              <w:t xml:space="preserve"> must</w:t>
            </w:r>
            <w:r w:rsidRPr="00132F69">
              <w:rPr>
                <w:sz w:val="18"/>
                <w:szCs w:val="18"/>
              </w:rPr>
              <w:t xml:space="preserve"> promptly determine the likelihood that customer information has been or will be misused. If </w:t>
            </w:r>
            <w:r w:rsidR="008C0633">
              <w:rPr>
                <w:sz w:val="18"/>
                <w:szCs w:val="18"/>
              </w:rPr>
              <w:t xml:space="preserve">FI </w:t>
            </w:r>
            <w:r w:rsidRPr="00132F69">
              <w:rPr>
                <w:sz w:val="18"/>
                <w:szCs w:val="18"/>
              </w:rPr>
              <w:t>determine</w:t>
            </w:r>
            <w:r w:rsidR="008C0633">
              <w:rPr>
                <w:sz w:val="18"/>
                <w:szCs w:val="18"/>
              </w:rPr>
              <w:t>s</w:t>
            </w:r>
            <w:r w:rsidRPr="00132F69">
              <w:rPr>
                <w:sz w:val="18"/>
                <w:szCs w:val="18"/>
              </w:rPr>
              <w:t xml:space="preserve"> that misuse of customer information has occurred or is reasonably likely and that at least </w:t>
            </w:r>
            <w:r w:rsidRPr="00132F69">
              <w:rPr>
                <w:b/>
                <w:bCs/>
                <w:sz w:val="18"/>
                <w:szCs w:val="18"/>
                <w:u w:val="single"/>
              </w:rPr>
              <w:t>1,000</w:t>
            </w:r>
            <w:r w:rsidRPr="00132F69">
              <w:rPr>
                <w:sz w:val="18"/>
                <w:szCs w:val="18"/>
                <w:u w:val="single"/>
              </w:rPr>
              <w:t xml:space="preserve"> consumers</w:t>
            </w:r>
            <w:r w:rsidRPr="00132F69">
              <w:rPr>
                <w:sz w:val="18"/>
                <w:szCs w:val="18"/>
              </w:rPr>
              <w:t xml:space="preserve"> have been affected or reasonably may be affected</w:t>
            </w:r>
            <w:r w:rsidR="007502B0">
              <w:rPr>
                <w:sz w:val="18"/>
                <w:szCs w:val="18"/>
              </w:rPr>
              <w:t xml:space="preserve">, notification obligations are triggered. </w:t>
            </w:r>
          </w:p>
          <w:p w14:paraId="228ADC75" w14:textId="77777777" w:rsidR="009A35A2" w:rsidRPr="00132F69" w:rsidRDefault="009A35A2" w:rsidP="00CA7646">
            <w:pPr>
              <w:rPr>
                <w:sz w:val="18"/>
                <w:szCs w:val="18"/>
              </w:rPr>
            </w:pPr>
          </w:p>
        </w:tc>
      </w:tr>
      <w:tr w:rsidR="00132F69" w:rsidRPr="00132F69" w14:paraId="13224D4A" w14:textId="77777777" w:rsidTr="00132F69">
        <w:trPr>
          <w:trHeight w:val="4128"/>
        </w:trPr>
        <w:tc>
          <w:tcPr>
            <w:tcW w:w="1418" w:type="dxa"/>
            <w:shd w:val="clear" w:color="auto" w:fill="D9E2F3" w:themeFill="accent1" w:themeFillTint="33"/>
          </w:tcPr>
          <w:p w14:paraId="0DA9AD07" w14:textId="00CE9D36" w:rsidR="009A35A2" w:rsidRPr="00132F69" w:rsidRDefault="009A35A2" w:rsidP="00CA7646">
            <w:pPr>
              <w:rPr>
                <w:b/>
                <w:bCs/>
                <w:sz w:val="18"/>
                <w:szCs w:val="18"/>
              </w:rPr>
            </w:pPr>
            <w:r w:rsidRPr="00132F69">
              <w:rPr>
                <w:b/>
                <w:bCs/>
                <w:sz w:val="18"/>
                <w:szCs w:val="18"/>
              </w:rPr>
              <w:t xml:space="preserve">Notification Obligations </w:t>
            </w:r>
          </w:p>
        </w:tc>
        <w:tc>
          <w:tcPr>
            <w:tcW w:w="9095" w:type="dxa"/>
          </w:tcPr>
          <w:p w14:paraId="449C4000" w14:textId="7F2F1D19" w:rsidR="0025413F" w:rsidRPr="00132F69" w:rsidRDefault="0025413F" w:rsidP="00CA7646">
            <w:pPr>
              <w:rPr>
                <w:b/>
                <w:bCs/>
                <w:i/>
                <w:iCs/>
                <w:sz w:val="18"/>
                <w:szCs w:val="18"/>
              </w:rPr>
            </w:pPr>
            <w:r w:rsidRPr="00132F69">
              <w:rPr>
                <w:b/>
                <w:bCs/>
                <w:i/>
                <w:iCs/>
                <w:sz w:val="18"/>
                <w:szCs w:val="18"/>
              </w:rPr>
              <w:t xml:space="preserve">Financial Institutions </w:t>
            </w:r>
          </w:p>
          <w:p w14:paraId="1BACEEE6" w14:textId="77777777" w:rsidR="009A35A2" w:rsidRPr="00132F69" w:rsidRDefault="0025413F" w:rsidP="00CA7646">
            <w:pPr>
              <w:rPr>
                <w:sz w:val="18"/>
                <w:szCs w:val="18"/>
              </w:rPr>
            </w:pPr>
            <w:r w:rsidRPr="00132F69">
              <w:rPr>
                <w:sz w:val="18"/>
                <w:szCs w:val="18"/>
              </w:rPr>
              <w:t>B</w:t>
            </w:r>
            <w:r w:rsidR="009A35A2" w:rsidRPr="00132F69">
              <w:rPr>
                <w:sz w:val="18"/>
                <w:szCs w:val="18"/>
              </w:rPr>
              <w:t>anking organizations are required to notify the appropriate agency or agency-designated point of contact of the incident</w:t>
            </w:r>
            <w:r w:rsidR="004D46D1" w:rsidRPr="00132F69">
              <w:rPr>
                <w:sz w:val="18"/>
                <w:szCs w:val="18"/>
              </w:rPr>
              <w:t xml:space="preserve"> (the primary federal regulator)</w:t>
            </w:r>
            <w:r w:rsidR="009A35A2" w:rsidRPr="00132F69">
              <w:rPr>
                <w:sz w:val="18"/>
                <w:szCs w:val="18"/>
              </w:rPr>
              <w:t xml:space="preserve">, which can be accomplished through email, telephone or similar methods prescribed by the agencies. The bank must provide its notice no later than </w:t>
            </w:r>
            <w:r w:rsidR="009A35A2" w:rsidRPr="00132F69">
              <w:rPr>
                <w:b/>
                <w:bCs/>
                <w:sz w:val="18"/>
                <w:szCs w:val="18"/>
                <w:u w:val="single"/>
              </w:rPr>
              <w:t>36 hours</w:t>
            </w:r>
            <w:r w:rsidR="009A35A2" w:rsidRPr="00132F69">
              <w:rPr>
                <w:sz w:val="18"/>
                <w:szCs w:val="18"/>
              </w:rPr>
              <w:t xml:space="preserve"> after a determination has been made that a notification incident has occurred.</w:t>
            </w:r>
          </w:p>
          <w:p w14:paraId="7500F6B6" w14:textId="44412C03" w:rsidR="004D46D1" w:rsidRPr="00132F69" w:rsidRDefault="004D46D1" w:rsidP="00CA7646">
            <w:pPr>
              <w:rPr>
                <w:sz w:val="18"/>
                <w:szCs w:val="18"/>
              </w:rPr>
            </w:pPr>
          </w:p>
          <w:p w14:paraId="134248EF" w14:textId="2B7281F7" w:rsidR="007B6C5F" w:rsidRPr="00132F69" w:rsidRDefault="007B6C5F" w:rsidP="00CA7646">
            <w:pPr>
              <w:rPr>
                <w:b/>
                <w:bCs/>
                <w:i/>
                <w:iCs/>
                <w:sz w:val="18"/>
                <w:szCs w:val="18"/>
              </w:rPr>
            </w:pPr>
            <w:r w:rsidRPr="00132F69">
              <w:rPr>
                <w:b/>
                <w:bCs/>
                <w:i/>
                <w:iCs/>
                <w:sz w:val="18"/>
                <w:szCs w:val="18"/>
              </w:rPr>
              <w:t xml:space="preserve">Bank Service Providers </w:t>
            </w:r>
          </w:p>
          <w:p w14:paraId="415FA040" w14:textId="7E606910" w:rsidR="004D46D1" w:rsidRPr="00132F69" w:rsidRDefault="007B6C5F" w:rsidP="00CA7646">
            <w:pPr>
              <w:rPr>
                <w:sz w:val="18"/>
                <w:szCs w:val="18"/>
              </w:rPr>
            </w:pPr>
            <w:r w:rsidRPr="007B6C5F">
              <w:rPr>
                <w:sz w:val="18"/>
                <w:szCs w:val="18"/>
              </w:rPr>
              <w:t xml:space="preserve">In the event of a triggering security incident, service providers are required to provide notice of the incident to at least </w:t>
            </w:r>
            <w:r w:rsidRPr="00132F69">
              <w:rPr>
                <w:b/>
                <w:bCs/>
                <w:sz w:val="18"/>
                <w:szCs w:val="18"/>
                <w:u w:val="single"/>
              </w:rPr>
              <w:t xml:space="preserve">1 </w:t>
            </w:r>
            <w:r w:rsidRPr="007B6C5F">
              <w:rPr>
                <w:b/>
                <w:bCs/>
                <w:sz w:val="18"/>
                <w:szCs w:val="18"/>
                <w:u w:val="single"/>
              </w:rPr>
              <w:t>bank-designated point of contact</w:t>
            </w:r>
            <w:r w:rsidRPr="007B6C5F">
              <w:rPr>
                <w:sz w:val="18"/>
                <w:szCs w:val="18"/>
              </w:rPr>
              <w:t xml:space="preserve"> </w:t>
            </w:r>
            <w:r w:rsidRPr="007B6C5F">
              <w:rPr>
                <w:b/>
                <w:bCs/>
                <w:sz w:val="18"/>
                <w:szCs w:val="18"/>
                <w:u w:val="single"/>
              </w:rPr>
              <w:t>at each affected bank customer</w:t>
            </w:r>
            <w:r w:rsidRPr="007B6C5F">
              <w:rPr>
                <w:sz w:val="18"/>
                <w:szCs w:val="18"/>
              </w:rPr>
              <w:t xml:space="preserve">. </w:t>
            </w:r>
            <w:r w:rsidRPr="007B6C5F">
              <w:rPr>
                <w:b/>
                <w:bCs/>
                <w:sz w:val="18"/>
                <w:szCs w:val="18"/>
                <w:u w:val="single"/>
              </w:rPr>
              <w:t xml:space="preserve">In the event no bank-designated point of contact has been supplied to the service provider, notification must be made to the bank’s CEO and CIO or </w:t>
            </w:r>
            <w:r w:rsidRPr="00132F69">
              <w:rPr>
                <w:b/>
                <w:bCs/>
                <w:sz w:val="18"/>
                <w:szCs w:val="18"/>
                <w:u w:val="single"/>
              </w:rPr>
              <w:t xml:space="preserve">2 </w:t>
            </w:r>
            <w:r w:rsidRPr="007B6C5F">
              <w:rPr>
                <w:b/>
                <w:bCs/>
                <w:sz w:val="18"/>
                <w:szCs w:val="18"/>
                <w:u w:val="single"/>
              </w:rPr>
              <w:t xml:space="preserve">individuals </w:t>
            </w:r>
            <w:r w:rsidRPr="007B6C5F">
              <w:rPr>
                <w:sz w:val="18"/>
                <w:szCs w:val="18"/>
              </w:rPr>
              <w:t>of comparable responsibility and can be accomplished “through any reasonable means.”</w:t>
            </w:r>
            <w:r w:rsidR="00C115F0" w:rsidRPr="00132F69">
              <w:rPr>
                <w:sz w:val="18"/>
                <w:szCs w:val="18"/>
              </w:rPr>
              <w:t xml:space="preserve"> </w:t>
            </w:r>
            <w:r w:rsidRPr="007B6C5F">
              <w:rPr>
                <w:sz w:val="18"/>
                <w:szCs w:val="18"/>
              </w:rPr>
              <w:t xml:space="preserve">In terms of timing, service providers are only required to supply the requisite notice “as soon as possible” after a determination has been made that a triggering security incident has occurred. The 36-hour time limitation imposed on banks </w:t>
            </w:r>
            <w:r w:rsidRPr="007B6C5F">
              <w:rPr>
                <w:sz w:val="18"/>
                <w:szCs w:val="18"/>
                <w:u w:val="single"/>
              </w:rPr>
              <w:t>does not</w:t>
            </w:r>
            <w:r w:rsidRPr="007B6C5F">
              <w:rPr>
                <w:sz w:val="18"/>
                <w:szCs w:val="18"/>
              </w:rPr>
              <w:t>, however, extend to service providers.</w:t>
            </w:r>
          </w:p>
        </w:tc>
        <w:tc>
          <w:tcPr>
            <w:tcW w:w="4247" w:type="dxa"/>
          </w:tcPr>
          <w:p w14:paraId="2DB35A7C" w14:textId="54A8129C" w:rsidR="00C115F0" w:rsidRPr="00132F69" w:rsidRDefault="00E16079" w:rsidP="00C115F0">
            <w:pPr>
              <w:rPr>
                <w:sz w:val="18"/>
                <w:szCs w:val="18"/>
              </w:rPr>
            </w:pPr>
            <w:r w:rsidRPr="00132F69">
              <w:rPr>
                <w:sz w:val="18"/>
                <w:szCs w:val="18"/>
              </w:rPr>
              <w:t>Must n</w:t>
            </w:r>
            <w:r w:rsidR="00C115F0" w:rsidRPr="00132F69">
              <w:rPr>
                <w:sz w:val="18"/>
                <w:szCs w:val="18"/>
              </w:rPr>
              <w:t xml:space="preserve">otify the </w:t>
            </w:r>
            <w:r w:rsidRPr="00132F69">
              <w:rPr>
                <w:sz w:val="18"/>
                <w:szCs w:val="18"/>
              </w:rPr>
              <w:t xml:space="preserve">FTC </w:t>
            </w:r>
            <w:r w:rsidR="00C115F0" w:rsidRPr="00132F69">
              <w:rPr>
                <w:sz w:val="18"/>
                <w:szCs w:val="18"/>
              </w:rPr>
              <w:t xml:space="preserve">as soon as possible, </w:t>
            </w:r>
            <w:r w:rsidR="00C115F0" w:rsidRPr="00132F69">
              <w:rPr>
                <w:sz w:val="18"/>
                <w:szCs w:val="18"/>
                <w:u w:val="single"/>
              </w:rPr>
              <w:t xml:space="preserve">and </w:t>
            </w:r>
            <w:r w:rsidR="00C115F0" w:rsidRPr="00132F69">
              <w:rPr>
                <w:b/>
                <w:bCs/>
                <w:sz w:val="18"/>
                <w:szCs w:val="18"/>
                <w:u w:val="single"/>
              </w:rPr>
              <w:t>no later than 30 days after discovery of the event</w:t>
            </w:r>
            <w:r w:rsidR="00C115F0" w:rsidRPr="00132F69">
              <w:rPr>
                <w:sz w:val="18"/>
                <w:szCs w:val="18"/>
                <w:u w:val="single"/>
              </w:rPr>
              <w:t>.</w:t>
            </w:r>
            <w:r w:rsidR="00C115F0" w:rsidRPr="00132F69">
              <w:rPr>
                <w:sz w:val="18"/>
                <w:szCs w:val="18"/>
              </w:rPr>
              <w:t xml:space="preserve"> The notice shall be made electronically on a form to be located on the FTC’s website. The notice shall include the</w:t>
            </w:r>
            <w:r w:rsidRPr="00132F69">
              <w:rPr>
                <w:sz w:val="18"/>
                <w:szCs w:val="18"/>
              </w:rPr>
              <w:t xml:space="preserve">: </w:t>
            </w:r>
            <w:r w:rsidR="00C115F0" w:rsidRPr="00132F69">
              <w:rPr>
                <w:sz w:val="18"/>
                <w:szCs w:val="18"/>
              </w:rPr>
              <w:t xml:space="preserve">(1) The name and contact information of the reporting financial institution; (2) A description of the types of information that were involved in the security event; (3) If the information is possible to determine, the date or date range of the security event; and (4) A general description of the security event. </w:t>
            </w:r>
          </w:p>
          <w:p w14:paraId="0C938A03" w14:textId="77777777" w:rsidR="009A35A2" w:rsidRPr="00132F69" w:rsidRDefault="009A35A2" w:rsidP="00CA7646">
            <w:pPr>
              <w:rPr>
                <w:sz w:val="18"/>
                <w:szCs w:val="18"/>
              </w:rPr>
            </w:pPr>
          </w:p>
        </w:tc>
      </w:tr>
    </w:tbl>
    <w:p w14:paraId="1D27FD94" w14:textId="77777777" w:rsidR="00C115F0" w:rsidRPr="00C115F0" w:rsidRDefault="00C115F0" w:rsidP="00C115F0"/>
    <w:sectPr w:rsidR="00C115F0" w:rsidRPr="00C115F0" w:rsidSect="00132F69">
      <w:headerReference w:type="even" r:id="rId13"/>
      <w:headerReference w:type="default" r:id="rId14"/>
      <w:headerReference w:type="first" r:id="rId15"/>
      <w:pgSz w:w="15840" w:h="12240" w:orient="landscape" w:code="1"/>
      <w:pgMar w:top="245" w:right="245" w:bottom="245" w:left="24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E48ED" w14:textId="77777777" w:rsidR="009E793C" w:rsidRDefault="009E793C" w:rsidP="00A65FF3">
      <w:pPr>
        <w:spacing w:after="0" w:line="240" w:lineRule="auto"/>
      </w:pPr>
      <w:r>
        <w:separator/>
      </w:r>
    </w:p>
  </w:endnote>
  <w:endnote w:type="continuationSeparator" w:id="0">
    <w:p w14:paraId="4D177928" w14:textId="77777777" w:rsidR="009E793C" w:rsidRDefault="009E793C" w:rsidP="00A65FF3">
      <w:pPr>
        <w:spacing w:after="0" w:line="240" w:lineRule="auto"/>
      </w:pPr>
      <w:r>
        <w:continuationSeparator/>
      </w:r>
    </w:p>
  </w:endnote>
  <w:endnote w:type="continuationNotice" w:id="1">
    <w:p w14:paraId="5FAF8837" w14:textId="77777777" w:rsidR="009E793C" w:rsidRDefault="009E79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2BA7F" w14:textId="77777777" w:rsidR="009E793C" w:rsidRDefault="009E793C" w:rsidP="00A65FF3">
      <w:pPr>
        <w:spacing w:after="0" w:line="240" w:lineRule="auto"/>
      </w:pPr>
      <w:r>
        <w:separator/>
      </w:r>
    </w:p>
  </w:footnote>
  <w:footnote w:type="continuationSeparator" w:id="0">
    <w:p w14:paraId="5D55221D" w14:textId="77777777" w:rsidR="009E793C" w:rsidRDefault="009E793C" w:rsidP="00A65FF3">
      <w:pPr>
        <w:spacing w:after="0" w:line="240" w:lineRule="auto"/>
      </w:pPr>
      <w:r>
        <w:continuationSeparator/>
      </w:r>
    </w:p>
  </w:footnote>
  <w:footnote w:type="continuationNotice" w:id="1">
    <w:p w14:paraId="0058B24A" w14:textId="77777777" w:rsidR="009E793C" w:rsidRDefault="009E79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8D42" w14:textId="6044D711" w:rsidR="00A65FF3" w:rsidRDefault="00654C0D">
    <w:pPr>
      <w:pStyle w:val="Header"/>
    </w:pPr>
    <w:r>
      <w:rPr>
        <w:noProof/>
      </w:rPr>
      <mc:AlternateContent>
        <mc:Choice Requires="wps">
          <w:drawing>
            <wp:anchor distT="0" distB="0" distL="0" distR="0" simplePos="0" relativeHeight="251659264" behindDoc="0" locked="0" layoutInCell="1" allowOverlap="1" wp14:anchorId="4BFB861C" wp14:editId="551503F5">
              <wp:simplePos x="635" y="635"/>
              <wp:positionH relativeFrom="column">
                <wp:align>center</wp:align>
              </wp:positionH>
              <wp:positionV relativeFrom="paragraph">
                <wp:posOffset>635</wp:posOffset>
              </wp:positionV>
              <wp:extent cx="443865" cy="443865"/>
              <wp:effectExtent l="0" t="0" r="635" b="17145"/>
              <wp:wrapSquare wrapText="bothSides"/>
              <wp:docPr id="2" name="Text Box 2" descr="Internal Use Only">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3CED94" w14:textId="35732E78" w:rsidR="00654C0D" w:rsidRPr="00654C0D" w:rsidRDefault="00654C0D">
                          <w:pPr>
                            <w:rPr>
                              <w:rFonts w:ascii="Calibri" w:eastAsia="Calibri" w:hAnsi="Calibri" w:cs="Calibri"/>
                              <w:noProof/>
                              <w:color w:val="000000"/>
                              <w:sz w:val="20"/>
                              <w:szCs w:val="20"/>
                            </w:rPr>
                          </w:pPr>
                          <w:r w:rsidRPr="00654C0D">
                            <w:rPr>
                              <w:rFonts w:ascii="Calibri" w:eastAsia="Calibri" w:hAnsi="Calibri" w:cs="Calibri"/>
                              <w:noProof/>
                              <w:color w:val="000000"/>
                              <w:sz w:val="20"/>
                              <w:szCs w:val="20"/>
                            </w:rPr>
                            <w:t>Internal Use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BFB861C" id="_x0000_t202" coordsize="21600,21600" o:spt="202" path="m,l,21600r21600,l21600,xe">
              <v:stroke joinstyle="miter"/>
              <v:path gradientshapeok="t" o:connecttype="rect"/>
            </v:shapetype>
            <v:shape id="Text Box 2" o:spid="_x0000_s1026" type="#_x0000_t202" alt="Internal Use Only"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4D3CED94" w14:textId="35732E78" w:rsidR="00654C0D" w:rsidRPr="00654C0D" w:rsidRDefault="00654C0D">
                    <w:pPr>
                      <w:rPr>
                        <w:rFonts w:ascii="Calibri" w:eastAsia="Calibri" w:hAnsi="Calibri" w:cs="Calibri"/>
                        <w:noProof/>
                        <w:color w:val="000000"/>
                        <w:sz w:val="20"/>
                        <w:szCs w:val="20"/>
                      </w:rPr>
                    </w:pPr>
                    <w:r w:rsidRPr="00654C0D">
                      <w:rPr>
                        <w:rFonts w:ascii="Calibri" w:eastAsia="Calibri" w:hAnsi="Calibri" w:cs="Calibri"/>
                        <w:noProof/>
                        <w:color w:val="000000"/>
                        <w:sz w:val="20"/>
                        <w:szCs w:val="20"/>
                      </w:rPr>
                      <w:t>Internal Use Only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ED9C4" w14:textId="76527E3D" w:rsidR="00A65FF3" w:rsidRDefault="00654C0D" w:rsidP="00DC14C4">
    <w:pPr>
      <w:pStyle w:val="Header"/>
    </w:pPr>
    <w:r>
      <w:rPr>
        <w:noProof/>
      </w:rPr>
      <mc:AlternateContent>
        <mc:Choice Requires="wps">
          <w:drawing>
            <wp:anchor distT="0" distB="0" distL="0" distR="0" simplePos="0" relativeHeight="251660288" behindDoc="0" locked="0" layoutInCell="1" allowOverlap="1" wp14:anchorId="6A710C4F" wp14:editId="0B0AA0DC">
              <wp:simplePos x="0" y="0"/>
              <wp:positionH relativeFrom="column">
                <wp:posOffset>2766060</wp:posOffset>
              </wp:positionH>
              <wp:positionV relativeFrom="paragraph">
                <wp:posOffset>-386715</wp:posOffset>
              </wp:positionV>
              <wp:extent cx="443865" cy="443865"/>
              <wp:effectExtent l="0" t="0" r="15240" b="15875"/>
              <wp:wrapSquare wrapText="bothSides"/>
              <wp:docPr id="3" name="Text Box 3" descr="Internal Use Only">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645E73" w14:textId="51882C68" w:rsidR="00654C0D" w:rsidRDefault="00654C0D" w:rsidP="008C4D0A">
                          <w:pPr>
                            <w:jc w:val="center"/>
                            <w:rPr>
                              <w:rFonts w:ascii="Calibri" w:eastAsia="Calibri" w:hAnsi="Calibri" w:cs="Calibri"/>
                              <w:noProof/>
                              <w:color w:val="000000"/>
                              <w:sz w:val="20"/>
                              <w:szCs w:val="20"/>
                            </w:rPr>
                          </w:pPr>
                          <w:r w:rsidRPr="00654C0D">
                            <w:rPr>
                              <w:rFonts w:ascii="Calibri" w:eastAsia="Calibri" w:hAnsi="Calibri" w:cs="Calibri"/>
                              <w:noProof/>
                              <w:color w:val="000000"/>
                              <w:sz w:val="20"/>
                              <w:szCs w:val="20"/>
                            </w:rPr>
                            <w:t>Internal Use Only</w:t>
                          </w:r>
                        </w:p>
                        <w:p w14:paraId="3BF3F737" w14:textId="1663B9F2" w:rsidR="008C4D0A" w:rsidRDefault="007076AD" w:rsidP="008C4D0A">
                          <w:pPr>
                            <w:pStyle w:val="Header"/>
                            <w:jc w:val="center"/>
                          </w:pPr>
                          <w:r>
                            <w:t>C</w:t>
                          </w:r>
                          <w:r w:rsidR="008C4D0A">
                            <w:t>omparison of Data Breach Notification Requirements for Bank vs Nonbank</w:t>
                          </w:r>
                        </w:p>
                        <w:p w14:paraId="11EA4B86" w14:textId="77777777" w:rsidR="00DC14C4" w:rsidRPr="00654C0D" w:rsidRDefault="00DC14C4" w:rsidP="008C4D0A">
                          <w:pPr>
                            <w:rPr>
                              <w:rFonts w:ascii="Calibri" w:eastAsia="Calibri" w:hAnsi="Calibri" w:cs="Calibri"/>
                              <w:noProof/>
                              <w:color w:val="000000"/>
                              <w:sz w:val="20"/>
                              <w:szCs w:val="20"/>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A710C4F" id="_x0000_t202" coordsize="21600,21600" o:spt="202" path="m,l,21600r21600,l21600,xe">
              <v:stroke joinstyle="miter"/>
              <v:path gradientshapeok="t" o:connecttype="rect"/>
            </v:shapetype>
            <v:shape id="Text Box 3" o:spid="_x0000_s1027" type="#_x0000_t202" alt="Internal Use Only" style="position:absolute;margin-left:217.8pt;margin-top:-30.45pt;width:34.95pt;height:34.95pt;z-index:251660288;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" filled="f" stroked="f">
              <v:fill o:detectmouseclick="t"/>
              <v:textbox style="mso-fit-shape-to-text:t" inset="0,0,0,0">
                <w:txbxContent>
                  <w:p w14:paraId="1C645E73" w14:textId="51882C68" w:rsidR="00654C0D" w:rsidRDefault="00654C0D" w:rsidP="008C4D0A">
                    <w:pPr>
                      <w:jc w:val="center"/>
                      <w:rPr>
                        <w:rFonts w:ascii="Calibri" w:eastAsia="Calibri" w:hAnsi="Calibri" w:cs="Calibri"/>
                        <w:noProof/>
                        <w:color w:val="000000"/>
                        <w:sz w:val="20"/>
                        <w:szCs w:val="20"/>
                      </w:rPr>
                    </w:pPr>
                    <w:r w:rsidRPr="00654C0D">
                      <w:rPr>
                        <w:rFonts w:ascii="Calibri" w:eastAsia="Calibri" w:hAnsi="Calibri" w:cs="Calibri"/>
                        <w:noProof/>
                        <w:color w:val="000000"/>
                        <w:sz w:val="20"/>
                        <w:szCs w:val="20"/>
                      </w:rPr>
                      <w:t>Internal Use Only</w:t>
                    </w:r>
                  </w:p>
                  <w:p w14:paraId="3BF3F737" w14:textId="1663B9F2" w:rsidR="008C4D0A" w:rsidRDefault="007076AD" w:rsidP="008C4D0A">
                    <w:pPr>
                      <w:pStyle w:val="Header"/>
                      <w:jc w:val="center"/>
                    </w:pPr>
                    <w:r>
                      <w:t>C</w:t>
                    </w:r>
                    <w:r w:rsidR="008C4D0A">
                      <w:t>omparison of Data Breach Notification Requirements for Bank vs Nonbank</w:t>
                    </w:r>
                  </w:p>
                  <w:p w14:paraId="11EA4B86" w14:textId="77777777" w:rsidR="00DC14C4" w:rsidRPr="00654C0D" w:rsidRDefault="00DC14C4" w:rsidP="008C4D0A">
                    <w:pPr>
                      <w:rPr>
                        <w:rFonts w:ascii="Calibri" w:eastAsia="Calibri" w:hAnsi="Calibri" w:cs="Calibri"/>
                        <w:noProof/>
                        <w:color w:val="000000"/>
                        <w:sz w:val="20"/>
                        <w:szCs w:val="20"/>
                      </w:rPr>
                    </w:pP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0B79C" w14:textId="44C182D5" w:rsidR="00A65FF3" w:rsidRDefault="00654C0D">
    <w:pPr>
      <w:pStyle w:val="Header"/>
    </w:pPr>
    <w:r>
      <w:rPr>
        <w:noProof/>
      </w:rPr>
      <mc:AlternateContent>
        <mc:Choice Requires="wps">
          <w:drawing>
            <wp:anchor distT="0" distB="0" distL="0" distR="0" simplePos="0" relativeHeight="251658240" behindDoc="0" locked="0" layoutInCell="1" allowOverlap="1" wp14:anchorId="4EC507FC" wp14:editId="522A7727">
              <wp:simplePos x="635" y="635"/>
              <wp:positionH relativeFrom="column">
                <wp:align>center</wp:align>
              </wp:positionH>
              <wp:positionV relativeFrom="paragraph">
                <wp:posOffset>635</wp:posOffset>
              </wp:positionV>
              <wp:extent cx="443865" cy="443865"/>
              <wp:effectExtent l="0" t="0" r="635" b="17145"/>
              <wp:wrapSquare wrapText="bothSides"/>
              <wp:docPr id="1" name="Text Box 1" descr="Internal Use Only">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E3AD0E" w14:textId="44729F91" w:rsidR="00654C0D" w:rsidRPr="00654C0D" w:rsidRDefault="00654C0D">
                          <w:pPr>
                            <w:rPr>
                              <w:rFonts w:ascii="Calibri" w:eastAsia="Calibri" w:hAnsi="Calibri" w:cs="Calibri"/>
                              <w:noProof/>
                              <w:color w:val="000000"/>
                              <w:sz w:val="20"/>
                              <w:szCs w:val="20"/>
                            </w:rPr>
                          </w:pPr>
                          <w:r w:rsidRPr="00654C0D">
                            <w:rPr>
                              <w:rFonts w:ascii="Calibri" w:eastAsia="Calibri" w:hAnsi="Calibri" w:cs="Calibri"/>
                              <w:noProof/>
                              <w:color w:val="000000"/>
                              <w:sz w:val="20"/>
                              <w:szCs w:val="20"/>
                            </w:rPr>
                            <w:t>Internal Use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EC507FC" id="_x0000_t202" coordsize="21600,21600" o:spt="202" path="m,l,21600r21600,l21600,xe">
              <v:stroke joinstyle="miter"/>
              <v:path gradientshapeok="t" o:connecttype="rect"/>
            </v:shapetype>
            <v:shape id="Text Box 1" o:spid="_x0000_s1028" type="#_x0000_t202" alt="Internal Use Only"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07E3AD0E" w14:textId="44729F91" w:rsidR="00654C0D" w:rsidRPr="00654C0D" w:rsidRDefault="00654C0D">
                    <w:pPr>
                      <w:rPr>
                        <w:rFonts w:ascii="Calibri" w:eastAsia="Calibri" w:hAnsi="Calibri" w:cs="Calibri"/>
                        <w:noProof/>
                        <w:color w:val="000000"/>
                        <w:sz w:val="20"/>
                        <w:szCs w:val="20"/>
                      </w:rPr>
                    </w:pPr>
                    <w:r w:rsidRPr="00654C0D">
                      <w:rPr>
                        <w:rFonts w:ascii="Calibri" w:eastAsia="Calibri" w:hAnsi="Calibri" w:cs="Calibri"/>
                        <w:noProof/>
                        <w:color w:val="000000"/>
                        <w:sz w:val="20"/>
                        <w:szCs w:val="20"/>
                      </w:rPr>
                      <w:t>Internal Use Only</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43D34"/>
    <w:multiLevelType w:val="hybridMultilevel"/>
    <w:tmpl w:val="9FB6B204"/>
    <w:lvl w:ilvl="0" w:tplc="D4E032C2">
      <w:start w:val="1"/>
      <w:numFmt w:val="lowerLetter"/>
      <w:lvlText w:val="(%1)"/>
      <w:lvlJc w:val="left"/>
      <w:pPr>
        <w:ind w:left="720" w:hanging="360"/>
      </w:pPr>
      <w:rPr>
        <w:rFonts w:hint="default"/>
      </w:rPr>
    </w:lvl>
    <w:lvl w:ilvl="1" w:tplc="C89C88D8">
      <w:start w:val="1"/>
      <w:numFmt w:val="decimal"/>
      <w:lvlText w:val="(%2)"/>
      <w:lvlJc w:val="left"/>
      <w:pPr>
        <w:ind w:left="1440" w:hanging="360"/>
      </w:pPr>
      <w:rPr>
        <w:rFonts w:ascii="Cambria" w:eastAsia="Cambria" w:hAnsi="Cambria" w:cs="Cambria" w:hint="default"/>
        <w:w w:val="92"/>
        <w:sz w:val="18"/>
        <w:szCs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9A505E"/>
    <w:multiLevelType w:val="hybridMultilevel"/>
    <w:tmpl w:val="2812B76A"/>
    <w:lvl w:ilvl="0" w:tplc="376C9468">
      <w:start w:val="1"/>
      <w:numFmt w:val="lowerRoman"/>
      <w:lvlText w:val="(%1)"/>
      <w:lvlJc w:val="left"/>
      <w:pPr>
        <w:ind w:left="720" w:hanging="360"/>
      </w:pPr>
      <w:rPr>
        <w:rFonts w:ascii="Cambria" w:eastAsia="Cambria" w:hAnsi="Cambria" w:cs="Cambria" w:hint="default"/>
        <w:w w:val="95"/>
        <w:sz w:val="18"/>
        <w:szCs w:val="18"/>
      </w:rPr>
    </w:lvl>
    <w:lvl w:ilvl="1" w:tplc="51C203F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5669144">
    <w:abstractNumId w:val="1"/>
  </w:num>
  <w:num w:numId="2" w16cid:durableId="1106002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D42"/>
    <w:rsid w:val="00031BDA"/>
    <w:rsid w:val="000500BF"/>
    <w:rsid w:val="00072C98"/>
    <w:rsid w:val="00101768"/>
    <w:rsid w:val="00124552"/>
    <w:rsid w:val="00132F69"/>
    <w:rsid w:val="001B62A2"/>
    <w:rsid w:val="00235612"/>
    <w:rsid w:val="0024529D"/>
    <w:rsid w:val="0025413F"/>
    <w:rsid w:val="00273BBC"/>
    <w:rsid w:val="002D012C"/>
    <w:rsid w:val="002D3D42"/>
    <w:rsid w:val="002F53A2"/>
    <w:rsid w:val="003D1DD0"/>
    <w:rsid w:val="003F66D1"/>
    <w:rsid w:val="004920F0"/>
    <w:rsid w:val="0049662C"/>
    <w:rsid w:val="004D46D1"/>
    <w:rsid w:val="004F41A9"/>
    <w:rsid w:val="005217FA"/>
    <w:rsid w:val="005900E6"/>
    <w:rsid w:val="00596C0F"/>
    <w:rsid w:val="005C2D94"/>
    <w:rsid w:val="005F1E5C"/>
    <w:rsid w:val="00654C0D"/>
    <w:rsid w:val="006A4A62"/>
    <w:rsid w:val="006E0450"/>
    <w:rsid w:val="00701B75"/>
    <w:rsid w:val="0070682C"/>
    <w:rsid w:val="007076AD"/>
    <w:rsid w:val="00745D7E"/>
    <w:rsid w:val="007502B0"/>
    <w:rsid w:val="007950B1"/>
    <w:rsid w:val="007A0748"/>
    <w:rsid w:val="007B6C5F"/>
    <w:rsid w:val="007C661E"/>
    <w:rsid w:val="008C0633"/>
    <w:rsid w:val="008C4D0A"/>
    <w:rsid w:val="008D0E6A"/>
    <w:rsid w:val="0091585F"/>
    <w:rsid w:val="009A35A2"/>
    <w:rsid w:val="009C72B3"/>
    <w:rsid w:val="009E793C"/>
    <w:rsid w:val="00A409DB"/>
    <w:rsid w:val="00A5166D"/>
    <w:rsid w:val="00A65FF3"/>
    <w:rsid w:val="00A758B2"/>
    <w:rsid w:val="00A8705C"/>
    <w:rsid w:val="00AB4DD1"/>
    <w:rsid w:val="00AC4659"/>
    <w:rsid w:val="00AF0414"/>
    <w:rsid w:val="00B46F8C"/>
    <w:rsid w:val="00B97B00"/>
    <w:rsid w:val="00BD49E8"/>
    <w:rsid w:val="00C115F0"/>
    <w:rsid w:val="00CA7646"/>
    <w:rsid w:val="00CC0C5C"/>
    <w:rsid w:val="00CC6775"/>
    <w:rsid w:val="00D14B0D"/>
    <w:rsid w:val="00D764A6"/>
    <w:rsid w:val="00DB778D"/>
    <w:rsid w:val="00DC14C4"/>
    <w:rsid w:val="00E07F55"/>
    <w:rsid w:val="00E16079"/>
    <w:rsid w:val="00E2019D"/>
    <w:rsid w:val="00E55B94"/>
    <w:rsid w:val="00EE0657"/>
    <w:rsid w:val="00EF71BA"/>
    <w:rsid w:val="00F141D6"/>
    <w:rsid w:val="00F41184"/>
    <w:rsid w:val="00FA1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10AB8"/>
  <w15:chartTrackingRefBased/>
  <w15:docId w15:val="{5CB8920B-5248-49E2-9B76-8AD58F73B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3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12DA"/>
    <w:pPr>
      <w:ind w:left="720"/>
      <w:contextualSpacing/>
    </w:pPr>
  </w:style>
  <w:style w:type="character" w:styleId="Hyperlink">
    <w:name w:val="Hyperlink"/>
    <w:basedOn w:val="DefaultParagraphFont"/>
    <w:uiPriority w:val="99"/>
    <w:unhideWhenUsed/>
    <w:rsid w:val="00273BBC"/>
    <w:rPr>
      <w:color w:val="0563C1" w:themeColor="hyperlink"/>
      <w:u w:val="single"/>
    </w:rPr>
  </w:style>
  <w:style w:type="character" w:styleId="UnresolvedMention">
    <w:name w:val="Unresolved Mention"/>
    <w:basedOn w:val="DefaultParagraphFont"/>
    <w:uiPriority w:val="99"/>
    <w:semiHidden/>
    <w:unhideWhenUsed/>
    <w:rsid w:val="00273BBC"/>
    <w:rPr>
      <w:color w:val="605E5C"/>
      <w:shd w:val="clear" w:color="auto" w:fill="E1DFDD"/>
    </w:rPr>
  </w:style>
  <w:style w:type="paragraph" w:styleId="Header">
    <w:name w:val="header"/>
    <w:basedOn w:val="Normal"/>
    <w:link w:val="HeaderChar"/>
    <w:uiPriority w:val="99"/>
    <w:unhideWhenUsed/>
    <w:rsid w:val="00A65F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FF3"/>
  </w:style>
  <w:style w:type="paragraph" w:styleId="Footer">
    <w:name w:val="footer"/>
    <w:basedOn w:val="Normal"/>
    <w:link w:val="FooterChar"/>
    <w:uiPriority w:val="99"/>
    <w:unhideWhenUsed/>
    <w:rsid w:val="00A65F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FF3"/>
  </w:style>
  <w:style w:type="paragraph" w:styleId="EndnoteText">
    <w:name w:val="endnote text"/>
    <w:basedOn w:val="Normal"/>
    <w:link w:val="EndnoteTextChar"/>
    <w:uiPriority w:val="99"/>
    <w:semiHidden/>
    <w:unhideWhenUsed/>
    <w:rsid w:val="002541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413F"/>
    <w:rPr>
      <w:sz w:val="20"/>
      <w:szCs w:val="20"/>
    </w:rPr>
  </w:style>
  <w:style w:type="character" w:styleId="EndnoteReference">
    <w:name w:val="endnote reference"/>
    <w:basedOn w:val="DefaultParagraphFont"/>
    <w:uiPriority w:val="99"/>
    <w:semiHidden/>
    <w:unhideWhenUsed/>
    <w:rsid w:val="0025413F"/>
    <w:rPr>
      <w:vertAlign w:val="superscript"/>
    </w:rPr>
  </w:style>
  <w:style w:type="paragraph" w:styleId="FootnoteText">
    <w:name w:val="footnote text"/>
    <w:basedOn w:val="Normal"/>
    <w:link w:val="FootnoteTextChar"/>
    <w:uiPriority w:val="99"/>
    <w:semiHidden/>
    <w:unhideWhenUsed/>
    <w:rsid w:val="002541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413F"/>
    <w:rPr>
      <w:sz w:val="20"/>
      <w:szCs w:val="20"/>
    </w:rPr>
  </w:style>
  <w:style w:type="character" w:styleId="FootnoteReference">
    <w:name w:val="footnote reference"/>
    <w:basedOn w:val="DefaultParagraphFont"/>
    <w:uiPriority w:val="99"/>
    <w:semiHidden/>
    <w:unhideWhenUsed/>
    <w:rsid w:val="0025413F"/>
    <w:rPr>
      <w:vertAlign w:val="superscript"/>
    </w:rPr>
  </w:style>
  <w:style w:type="character" w:styleId="FollowedHyperlink">
    <w:name w:val="FollowedHyperlink"/>
    <w:basedOn w:val="DefaultParagraphFont"/>
    <w:uiPriority w:val="99"/>
    <w:semiHidden/>
    <w:unhideWhenUsed/>
    <w:rsid w:val="00E160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08362">
      <w:bodyDiv w:val="1"/>
      <w:marLeft w:val="0"/>
      <w:marRight w:val="0"/>
      <w:marTop w:val="0"/>
      <w:marBottom w:val="0"/>
      <w:divBdr>
        <w:top w:val="none" w:sz="0" w:space="0" w:color="auto"/>
        <w:left w:val="none" w:sz="0" w:space="0" w:color="auto"/>
        <w:bottom w:val="none" w:sz="0" w:space="0" w:color="auto"/>
        <w:right w:val="none" w:sz="0" w:space="0" w:color="auto"/>
      </w:divBdr>
    </w:div>
    <w:div w:id="82424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info.gov/content/pkg/FR-2021-12-09/pdf/2021-25064.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dic.gov/news/board-matters/2021/2021-11-17-notational-fr.pdf"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5de492b-ad9a-4b6d-a960-6cd255b84fae" xsi:nil="true"/>
    <SharedWithUsers xmlns="b177d94f-acad-4d87-b0ea-e42098d4097a">
      <UserInfo>
        <DisplayName>Chuck Cross</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1E977DD08A1F34497F3F476FFE68E1A" ma:contentTypeVersion="12" ma:contentTypeDescription="Create a new document." ma:contentTypeScope="" ma:versionID="bcf4fec7245a53dd348f3c12b8e318e1">
  <xsd:schema xmlns:xsd="http://www.w3.org/2001/XMLSchema" xmlns:xs="http://www.w3.org/2001/XMLSchema" xmlns:p="http://schemas.microsoft.com/office/2006/metadata/properties" xmlns:ns2="05de492b-ad9a-4b6d-a960-6cd255b84fae" xmlns:ns3="b177d94f-acad-4d87-b0ea-e42098d4097a" targetNamespace="http://schemas.microsoft.com/office/2006/metadata/properties" ma:root="true" ma:fieldsID="eb9957cc0493ff651fb93aeb8e758b23" ns2:_="" ns3:_="">
    <xsd:import namespace="05de492b-ad9a-4b6d-a960-6cd255b84fae"/>
    <xsd:import namespace="b177d94f-acad-4d87-b0ea-e42098d409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_Flow_SignoffStatu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de492b-ad9a-4b6d-a960-6cd255b84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_Flow_SignoffStatus" ma:index="15" nillable="true" ma:displayName="Sign-off status" ma:internalName="_x0024_Resources_x003a_core_x002c_Signoff_Status_x003b_">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7d94f-acad-4d87-b0ea-e42098d4097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6B12E7-4CEA-47A4-9633-ADE5BC6A5DDD}">
  <ds:schemaRefs>
    <ds:schemaRef ds:uri="http://schemas.microsoft.com/office/2006/metadata/properties"/>
    <ds:schemaRef ds:uri="http://www.w3.org/2000/xmlns/"/>
    <ds:schemaRef ds:uri="05de492b-ad9a-4b6d-a960-6cd255b84fae"/>
    <ds:schemaRef ds:uri="http://www.w3.org/2001/XMLSchema-instance"/>
    <ds:schemaRef ds:uri="b177d94f-acad-4d87-b0ea-e42098d4097a"/>
    <ds:schemaRef ds:uri="http://schemas.microsoft.com/office/infopath/2007/PartnerControls"/>
  </ds:schemaRefs>
</ds:datastoreItem>
</file>

<file path=customXml/itemProps2.xml><?xml version="1.0" encoding="utf-8"?>
<ds:datastoreItem xmlns:ds="http://schemas.openxmlformats.org/officeDocument/2006/customXml" ds:itemID="{6F76F325-8E56-4E82-9807-FCC0338105CA}">
  <ds:schemaRefs>
    <ds:schemaRef ds:uri="http://schemas.microsoft.com/sharepoint/v3/contenttype/forms"/>
  </ds:schemaRefs>
</ds:datastoreItem>
</file>

<file path=customXml/itemProps3.xml><?xml version="1.0" encoding="utf-8"?>
<ds:datastoreItem xmlns:ds="http://schemas.openxmlformats.org/officeDocument/2006/customXml" ds:itemID="{3AA21C45-FB78-422A-93B9-7EB3FD948867}">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62A32DE2-07BC-41CB-8910-DD2B35E85C0A}">
  <ds:schemaRefs>
    <ds:schemaRef ds:uri="http://schemas.microsoft.com/office/2006/metadata/contentType"/>
    <ds:schemaRef ds:uri="http://schemas.microsoft.com/office/2006/metadata/properties/metaAttributes"/>
    <ds:schemaRef ds:uri="http://www.w3.org/2000/xmlns/"/>
    <ds:schemaRef ds:uri="http://www.w3.org/2001/XMLSchema"/>
    <ds:schemaRef ds:uri="05de492b-ad9a-4b6d-a960-6cd255b84fae"/>
    <ds:schemaRef ds:uri="b177d94f-acad-4d87-b0ea-e42098d4097a"/>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1625</TotalTime>
  <Pages>1</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Sears</dc:creator>
  <cp:keywords/>
  <dc:description/>
  <cp:lastModifiedBy>Chuck Cross</cp:lastModifiedBy>
  <cp:revision>60</cp:revision>
  <cp:lastPrinted>2022-04-25T20:57:00Z</cp:lastPrinted>
  <dcterms:created xsi:type="dcterms:W3CDTF">2022-04-20T19:54:00Z</dcterms:created>
  <dcterms:modified xsi:type="dcterms:W3CDTF">2022-07-08T15:06:00Z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c,1,2,3</vt:lpwstr>
  </property>
  <property fmtid="{D5CDD505-2E9C-101B-9397-08002B2CF9AE}" pid="3" name="ClassificationContentMarkingHeaderFontProps">
    <vt:lpwstr>#000000,10,Calibri</vt:lpwstr>
  </property>
  <property fmtid="{D5CDD505-2E9C-101B-9397-08002B2CF9AE}" pid="4" name="ClassificationContentMarkingHeaderText">
    <vt:lpwstr>Internal Use Only</vt:lpwstr>
  </property>
  <property fmtid="{D5CDD505-2E9C-101B-9397-08002B2CF9AE}" pid="5" name="ContentTypeId">
    <vt:lpwstr>0x01010071E977DD08A1F34497F3F476FFE68E1A</vt:lpwstr>
  </property>
  <property fmtid="{D5CDD505-2E9C-101B-9397-08002B2CF9AE}" pid="6" name="MSIP_Label_f01e8231-d2ac-4398-bac1-28dfcc71348e_Enabled">
    <vt:lpwstr>true</vt:lpwstr>
  </property>
  <property fmtid="{D5CDD505-2E9C-101B-9397-08002B2CF9AE}" pid="7" name="MSIP_Label_f01e8231-d2ac-4398-bac1-28dfcc71348e_SetDate">
    <vt:lpwstr>2022-07-08T15:04:32Z</vt:lpwstr>
  </property>
  <property fmtid="{D5CDD505-2E9C-101B-9397-08002B2CF9AE}" pid="8" name="MSIP_Label_f01e8231-d2ac-4398-bac1-28dfcc71348e_Method">
    <vt:lpwstr>Privileged</vt:lpwstr>
  </property>
  <property fmtid="{D5CDD505-2E9C-101B-9397-08002B2CF9AE}" pid="9" name="MSIP_Label_f01e8231-d2ac-4398-bac1-28dfcc71348e_Name">
    <vt:lpwstr>Internal Use Only</vt:lpwstr>
  </property>
  <property fmtid="{D5CDD505-2E9C-101B-9397-08002B2CF9AE}" pid="10" name="MSIP_Label_f01e8231-d2ac-4398-bac1-28dfcc71348e_SiteId">
    <vt:lpwstr>15bbbd45-801e-4e97-b5b8-bebef99178d3</vt:lpwstr>
  </property>
  <property fmtid="{D5CDD505-2E9C-101B-9397-08002B2CF9AE}" pid="11" name="MSIP_Label_f01e8231-d2ac-4398-bac1-28dfcc71348e_ActionId">
    <vt:lpwstr>d6b9a316-c6ff-4a68-9df5-fbfebcaf4dbc</vt:lpwstr>
  </property>
  <property fmtid="{D5CDD505-2E9C-101B-9397-08002B2CF9AE}" pid="12" name="MSIP_Label_f01e8231-d2ac-4398-bac1-28dfcc71348e_ContentBits">
    <vt:lpwstr>1</vt:lpwstr>
  </property>
</Properties>
</file>